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9791" w:type="dxa"/>
        <w:jc w:val="center"/>
        <w:tblLayout w:type="fixed"/>
        <w:tblCellMar>
          <w:top w:w="0" w:type="dxa"/>
          <w:left w:w="108" w:type="dxa"/>
          <w:bottom w:w="0" w:type="dxa"/>
          <w:right w:w="108" w:type="dxa"/>
        </w:tblCellMar>
      </w:tblPr>
      <w:tblGrid>
        <w:gridCol w:w="3689"/>
        <w:gridCol w:w="6102"/>
      </w:tblGrid>
      <w:tr w14:paraId="72C21535">
        <w:tblPrEx>
          <w:tblCellMar>
            <w:top w:w="0" w:type="dxa"/>
            <w:left w:w="108" w:type="dxa"/>
            <w:bottom w:w="0" w:type="dxa"/>
            <w:right w:w="108" w:type="dxa"/>
          </w:tblCellMar>
        </w:tblPrEx>
        <w:trPr>
          <w:trHeight w:val="837" w:hRule="atLeast"/>
          <w:jc w:val="center"/>
        </w:trPr>
        <w:tc>
          <w:tcPr>
            <w:tcW w:w="3689" w:type="dxa"/>
            <w:noWrap w:val="0"/>
            <w:vAlign w:val="top"/>
          </w:tcPr>
          <w:p w14:paraId="0B200593">
            <w:pPr>
              <w:spacing w:before="40" w:after="40"/>
              <w:jc w:val="center"/>
              <w:rPr>
                <w:rFonts w:ascii="Times New Roman" w:hAnsi="Times New Roman"/>
                <w:sz w:val="28"/>
                <w:szCs w:val="28"/>
              </w:rPr>
            </w:pPr>
            <w:r>
              <w:rPr>
                <w:rFonts w:ascii="Times New Roman" w:hAnsi="Times New Roman"/>
                <w:sz w:val="28"/>
                <w:szCs w:val="28"/>
              </w:rPr>
              <w:t>UBND THÀNH PHỐ HUẾ</w:t>
            </w:r>
          </w:p>
          <w:p w14:paraId="2A3A591D">
            <w:pPr>
              <w:spacing w:before="40" w:after="40"/>
              <w:jc w:val="center"/>
              <w:rPr>
                <w:rFonts w:ascii="Times New Roman" w:hAnsi="Times New Roman"/>
                <w:bCs/>
                <w:sz w:val="28"/>
                <w:szCs w:val="28"/>
              </w:rPr>
            </w:pPr>
            <w:r>
              <w:rPr>
                <w:rFonts w:ascii="Times New Roman" w:hAnsi="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887095</wp:posOffset>
                      </wp:positionH>
                      <wp:positionV relativeFrom="paragraph">
                        <wp:posOffset>234315</wp:posOffset>
                      </wp:positionV>
                      <wp:extent cx="495300" cy="0"/>
                      <wp:effectExtent l="0" t="4445" r="0" b="5080"/>
                      <wp:wrapNone/>
                      <wp:docPr id="3" name="Straight Connector 3"/>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69.85pt;margin-top:18.45pt;height:0pt;width:39pt;z-index:251659264;mso-width-relative:page;mso-height-relative:page;" filled="f" stroked="t" coordsize="21600,21600" o:gfxdata="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NI6OtUAAAAJAQAADwAAAAAAAAABACAA&#10;AAAiAAAAZHJzL2Rvd25yZXYueG1sUEsBAhQAFAAAAAgAh07iQLkRSCbXAQAAugMAAA4AAAAAAAAA&#10;AQAgAAAAJAEAAGRycy9lMm9Eb2MueG1sUEsFBgAAAAAGAAYAWQEAAG0FAAAAAA==&#10;">
                      <v:fill on="f" focussize="0,0"/>
                      <v:stroke color="#000000" joinstyle="round"/>
                      <v:imagedata o:title=""/>
                      <o:lock v:ext="edit" aspectratio="f"/>
                    </v:line>
                  </w:pict>
                </mc:Fallback>
              </mc:AlternateContent>
            </w:r>
            <w:r>
              <w:rPr>
                <w:rFonts w:ascii="Times New Roman" w:hAnsi="Times New Roman"/>
                <w:b/>
                <w:sz w:val="28"/>
                <w:szCs w:val="28"/>
              </w:rPr>
              <w:t>SỞ NỘI VỤ</w:t>
            </w:r>
          </w:p>
        </w:tc>
        <w:tc>
          <w:tcPr>
            <w:tcW w:w="6102" w:type="dxa"/>
            <w:noWrap w:val="0"/>
            <w:vAlign w:val="top"/>
          </w:tcPr>
          <w:p w14:paraId="40EFC70C">
            <w:pPr>
              <w:spacing w:before="40" w:after="40"/>
              <w:jc w:val="center"/>
              <w:rPr>
                <w:rFonts w:ascii="Times New Roman" w:hAnsi="Times New Roman"/>
                <w:b/>
                <w:bCs/>
                <w:sz w:val="28"/>
                <w:szCs w:val="28"/>
              </w:rPr>
            </w:pPr>
            <w:r>
              <w:rPr>
                <w:rFonts w:ascii="Times New Roman" w:hAnsi="Times New Roman"/>
                <w:b/>
                <w:bCs/>
                <w:sz w:val="28"/>
                <w:szCs w:val="28"/>
              </w:rPr>
              <w:t>CỘNG HÒA XÃ HỘI CHỦ NGHĨA VIỆT NAM</w:t>
            </w:r>
          </w:p>
          <w:p w14:paraId="014C216D">
            <w:pPr>
              <w:spacing w:before="40" w:after="40"/>
              <w:jc w:val="center"/>
              <w:rPr>
                <w:rFonts w:ascii="Times New Roman" w:hAnsi="Times New Roman"/>
                <w:sz w:val="28"/>
                <w:szCs w:val="28"/>
              </w:rPr>
            </w:pPr>
            <w:r>
              <w:rPr>
                <w:rFonts w:ascii="Times New Roman" w:hAnsi="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1036320</wp:posOffset>
                      </wp:positionH>
                      <wp:positionV relativeFrom="paragraph">
                        <wp:posOffset>245745</wp:posOffset>
                      </wp:positionV>
                      <wp:extent cx="1734820" cy="0"/>
                      <wp:effectExtent l="0" t="4445" r="0" b="5080"/>
                      <wp:wrapNone/>
                      <wp:docPr id="2" name="Straight Connector 2"/>
                      <wp:cNvGraphicFramePr/>
                      <a:graphic xmlns:a="http://schemas.openxmlformats.org/drawingml/2006/main">
                        <a:graphicData uri="http://schemas.microsoft.com/office/word/2010/wordprocessingShape">
                          <wps:wsp>
                            <wps:cNvCnPr>
                              <a:cxnSpLocks noChangeShapeType="1"/>
                            </wps:cNvCnPr>
                            <wps:spPr bwMode="auto">
                              <a:xfrm>
                                <a:off x="0" y="0"/>
                                <a:ext cx="205867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1.6pt;margin-top:19.35pt;height:0pt;width:136.6pt;z-index:251660288;mso-width-relative:page;mso-height-relative:page;" filled="f" stroked="t" coordsize="21600,21600" o:gfxdata="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BH3rC1gAAAAkBAAAPAAAAAAAAAAEA&#10;IAAAACIAAABkcnMvZG93bnJldi54bWxQSwECFAAUAAAACACHTuJAlbmEX9gBAAC7AwAADgAAAAAA&#10;AAABACAAAAAlAQAAZHJzL2Uyb0RvYy54bWxQSwUGAAAAAAYABgBZAQAAbwUAAAAA&#10;">
                      <v:fill on="f" focussize="0,0"/>
                      <v:stroke color="#000000" joinstyle="round"/>
                      <v:imagedata o:title=""/>
                      <o:lock v:ext="edit" aspectratio="f"/>
                    </v:line>
                  </w:pict>
                </mc:Fallback>
              </mc:AlternateContent>
            </w:r>
            <w:r>
              <w:rPr>
                <w:rFonts w:ascii="Times New Roman" w:hAnsi="Times New Roman"/>
                <w:b/>
                <w:bCs/>
                <w:sz w:val="28"/>
                <w:szCs w:val="28"/>
              </w:rPr>
              <w:t>Độc lập - Tự do - Hạnh phúc</w:t>
            </w:r>
          </w:p>
        </w:tc>
      </w:tr>
      <w:tr w14:paraId="7EF745DC">
        <w:tblPrEx>
          <w:tblCellMar>
            <w:top w:w="0" w:type="dxa"/>
            <w:left w:w="108" w:type="dxa"/>
            <w:bottom w:w="0" w:type="dxa"/>
            <w:right w:w="108" w:type="dxa"/>
          </w:tblCellMar>
        </w:tblPrEx>
        <w:trPr>
          <w:trHeight w:val="372" w:hRule="atLeast"/>
          <w:jc w:val="center"/>
        </w:trPr>
        <w:tc>
          <w:tcPr>
            <w:tcW w:w="3689" w:type="dxa"/>
            <w:noWrap w:val="0"/>
            <w:vAlign w:val="top"/>
          </w:tcPr>
          <w:p w14:paraId="0466DB3C">
            <w:pPr>
              <w:spacing w:before="40" w:after="40" w:line="360" w:lineRule="exact"/>
              <w:jc w:val="center"/>
              <w:rPr>
                <w:rFonts w:ascii="Times New Roman" w:hAnsi="Times New Roman"/>
                <w:sz w:val="28"/>
                <w:szCs w:val="28"/>
              </w:rPr>
            </w:pPr>
            <w:r>
              <w:rPr>
                <w:rFonts w:ascii="Times New Roman" w:hAnsi="Times New Roman"/>
                <w:sz w:val="28"/>
                <w:szCs w:val="28"/>
              </w:rPr>
              <w:t>Số:          / TTr-SNV</w:t>
            </w:r>
          </w:p>
        </w:tc>
        <w:tc>
          <w:tcPr>
            <w:tcW w:w="6102" w:type="dxa"/>
            <w:noWrap w:val="0"/>
            <w:vAlign w:val="top"/>
          </w:tcPr>
          <w:p w14:paraId="6097A061">
            <w:pPr>
              <w:spacing w:before="40" w:after="40" w:line="360" w:lineRule="exact"/>
              <w:jc w:val="center"/>
              <w:rPr>
                <w:rFonts w:ascii="Times New Roman" w:hAnsi="Times New Roman"/>
                <w:i/>
                <w:iCs/>
                <w:sz w:val="28"/>
                <w:szCs w:val="28"/>
              </w:rPr>
            </w:pPr>
            <w:r>
              <w:rPr>
                <w:rFonts w:ascii="Times New Roman" w:hAnsi="Times New Roman"/>
                <w:i/>
                <w:iCs/>
                <w:sz w:val="28"/>
                <w:szCs w:val="28"/>
              </w:rPr>
              <w:t>Huế, ngày        tháng        năm 2026</w:t>
            </w:r>
          </w:p>
        </w:tc>
      </w:tr>
    </w:tbl>
    <w:p w14:paraId="43C94207">
      <w:pPr>
        <w:pStyle w:val="33"/>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0" w:afterAutospacing="0"/>
        <w:ind w:leftChars="0" w:right="0" w:rightChars="0"/>
        <w:jc w:val="center"/>
        <w:textAlignment w:val="auto"/>
        <w:rPr>
          <w:rFonts w:hint="default" w:ascii="Times New Roman" w:hAnsi="Times New Roman" w:cs="Times New Roman"/>
          <w:b/>
          <w:bCs/>
          <w:sz w:val="28"/>
          <w:szCs w:val="28"/>
        </w:rPr>
      </w:pPr>
    </w:p>
    <w:p w14:paraId="54EA91C2"/>
    <w:p w14:paraId="1A0F7B7C">
      <w:pPr>
        <w:jc w:val="center"/>
      </w:pPr>
      <w:r>
        <w:rPr>
          <w:rFonts w:ascii="Times New Roman" w:hAnsi="Times New Roman"/>
          <w:b/>
          <w:sz w:val="28"/>
        </w:rPr>
        <w:t>TỜ TRÌNH</w:t>
      </w:r>
    </w:p>
    <w:p w14:paraId="08441FE1">
      <w:pPr>
        <w:jc w:val="center"/>
      </w:pPr>
      <w:r>
        <w:rPr>
          <w:rFonts w:ascii="Times New Roman" w:hAnsi="Times New Roman"/>
          <w:b/>
          <w:sz w:val="28"/>
        </w:rPr>
        <w:t>Về việc ban hành các Quyết định phân cấp, ủy quyền cho Ban Quản lý</w:t>
      </w:r>
      <w:r>
        <w:rPr>
          <w:rFonts w:ascii="Times New Roman" w:hAnsi="Times New Roman"/>
          <w:b/>
          <w:sz w:val="28"/>
        </w:rPr>
        <w:br w:type="textWrapping"/>
      </w:r>
      <w:r>
        <w:rPr>
          <w:rFonts w:ascii="Times New Roman" w:hAnsi="Times New Roman"/>
          <w:b/>
          <w:sz w:val="28"/>
        </w:rPr>
        <w:t>Khu kinh tế, công nghiệp thành phố Huế thực hiện một số nhiệm vụ, quyền hạn</w:t>
      </w:r>
    </w:p>
    <w:p w14:paraId="3963DCDE">
      <w:pPr>
        <w:ind w:left="0" w:leftChars="0" w:firstLine="778" w:firstLineChars="278"/>
        <w:rPr>
          <w:sz w:val="28"/>
          <w:szCs w:val="28"/>
        </w:rPr>
      </w:pPr>
    </w:p>
    <w:p w14:paraId="3FAB74E4">
      <w:pPr>
        <w:keepNext w:val="0"/>
        <w:keepLines w:val="0"/>
        <w:pageBreakBefore w:val="0"/>
        <w:widowControl/>
        <w:kinsoku/>
        <w:wordWrap/>
        <w:overflowPunct/>
        <w:topLinePunct w:val="0"/>
        <w:autoSpaceDE/>
        <w:autoSpaceDN/>
        <w:bidi w:val="0"/>
        <w:adjustRightInd/>
        <w:snapToGrid/>
        <w:spacing w:before="240" w:after="240"/>
        <w:ind w:left="0" w:leftChars="0" w:firstLine="778" w:firstLineChars="278"/>
        <w:jc w:val="center"/>
        <w:textAlignment w:val="auto"/>
        <w:rPr>
          <w:sz w:val="28"/>
          <w:szCs w:val="28"/>
        </w:rPr>
      </w:pPr>
      <w:r>
        <w:rPr>
          <w:rFonts w:ascii="Times New Roman" w:hAnsi="Times New Roman"/>
          <w:b w:val="0"/>
          <w:bCs/>
          <w:sz w:val="28"/>
          <w:szCs w:val="28"/>
        </w:rPr>
        <w:t>Kính gửi: Ủy ban nhân dân thành phố Huế</w:t>
      </w:r>
      <w:r>
        <w:rPr>
          <w:rFonts w:ascii="Times New Roman" w:hAnsi="Times New Roman"/>
          <w:b/>
          <w:sz w:val="28"/>
          <w:szCs w:val="28"/>
        </w:rPr>
        <w:t>.</w:t>
      </w:r>
    </w:p>
    <w:p w14:paraId="155F779F">
      <w:pPr>
        <w:ind w:left="0" w:leftChars="0" w:firstLine="778" w:firstLineChars="278"/>
        <w:jc w:val="both"/>
        <w:rPr>
          <w:sz w:val="28"/>
          <w:szCs w:val="28"/>
        </w:rPr>
      </w:pPr>
      <w:r>
        <w:rPr>
          <w:rFonts w:ascii="Times New Roman" w:hAnsi="Times New Roman" w:eastAsia="Times New Roman"/>
          <w:b w:val="0"/>
          <w:i w:val="0"/>
          <w:sz w:val="28"/>
          <w:szCs w:val="28"/>
        </w:rPr>
        <w:t>Thực hiện chủ trương đẩy mạnh phân cấp, phân quyền gắn với kiểm tra, giám sát và trách nhiệm giải trình; trên cơ sở đề nghị của Ban Quản lý Khu kinh tế, công nghiệp thành phố Huế, ý kiến tham gia của các sở, ngành và kết quả rà soát của Sở Nội vụ, Sở Nội vụ kính trình Ủy ban nhân dân thành phố xem xét ban hành các Quyết định phân cấp, ủy quyền cho Ban Quản lý Khu kinh tế, công nghiệp thành phố Huế, với các nội dung sau:</w:t>
      </w:r>
    </w:p>
    <w:p w14:paraId="55ACC800">
      <w:pPr>
        <w:keepNext w:val="0"/>
        <w:keepLines w:val="0"/>
        <w:pageBreakBefore w:val="0"/>
        <w:widowControl/>
        <w:kinsoku/>
        <w:wordWrap/>
        <w:overflowPunct/>
        <w:topLinePunct w:val="0"/>
        <w:autoSpaceDE/>
        <w:autoSpaceDN/>
        <w:bidi w:val="0"/>
        <w:adjustRightInd/>
        <w:snapToGrid/>
        <w:spacing w:before="120" w:after="120"/>
        <w:ind w:left="0" w:leftChars="0" w:firstLine="779" w:firstLineChars="278"/>
        <w:jc w:val="both"/>
        <w:textAlignment w:val="auto"/>
        <w:rPr>
          <w:sz w:val="28"/>
          <w:szCs w:val="28"/>
        </w:rPr>
      </w:pPr>
      <w:r>
        <w:rPr>
          <w:rFonts w:ascii="Times New Roman" w:hAnsi="Times New Roman" w:eastAsia="Times New Roman"/>
          <w:b/>
          <w:sz w:val="28"/>
          <w:szCs w:val="28"/>
        </w:rPr>
        <w:t>I. SỰ CẦN THIẾT BAN HÀNH VĂN BẢN</w:t>
      </w:r>
    </w:p>
    <w:p w14:paraId="6BE83E4A">
      <w:pPr>
        <w:ind w:left="0" w:leftChars="0" w:firstLine="779" w:firstLineChars="278"/>
        <w:jc w:val="both"/>
        <w:rPr>
          <w:sz w:val="28"/>
          <w:szCs w:val="28"/>
        </w:rPr>
      </w:pPr>
      <w:r>
        <w:rPr>
          <w:rFonts w:ascii="Times New Roman" w:hAnsi="Times New Roman" w:eastAsia="Times New Roman"/>
          <w:b/>
          <w:sz w:val="28"/>
          <w:szCs w:val="28"/>
        </w:rPr>
        <w:t>1. Cơ sở chính trị, pháp lý</w:t>
      </w:r>
    </w:p>
    <w:p w14:paraId="575B3B63">
      <w:pPr>
        <w:ind w:left="0" w:leftChars="0" w:firstLine="778" w:firstLineChars="278"/>
        <w:jc w:val="both"/>
        <w:rPr>
          <w:sz w:val="28"/>
          <w:szCs w:val="28"/>
        </w:rPr>
      </w:pPr>
      <w:r>
        <w:rPr>
          <w:rFonts w:ascii="Times New Roman" w:hAnsi="Times New Roman" w:eastAsia="Times New Roman"/>
          <w:b w:val="0"/>
          <w:i w:val="0"/>
          <w:sz w:val="28"/>
          <w:szCs w:val="28"/>
        </w:rPr>
        <w:t>Luật Tổ chức chính quyền địa phương số 72/2025/QH15 xác lập nguyên tắc phân định thẩm quyền, phân quyền, phân cấp và ủy quyền giữa các cơ quan, người có thẩm quyền ở địa phương; đồng thời yêu cầu việc phân cấp, ủy quyền phải xác định rõ nội dung, phạm vi, thời hạn, trách nhiệm của cơ quan phân cấp, ủy quyền và cơ quan, người được phân cấp, ủy quyền.</w:t>
      </w:r>
    </w:p>
    <w:p w14:paraId="3E21F484">
      <w:pPr>
        <w:ind w:left="0" w:leftChars="0" w:firstLine="778" w:firstLineChars="278"/>
        <w:jc w:val="both"/>
        <w:rPr>
          <w:sz w:val="28"/>
          <w:szCs w:val="28"/>
        </w:rPr>
      </w:pPr>
      <w:r>
        <w:rPr>
          <w:rFonts w:ascii="Times New Roman" w:hAnsi="Times New Roman" w:eastAsia="Times New Roman"/>
          <w:b w:val="0"/>
          <w:i w:val="0"/>
          <w:sz w:val="28"/>
          <w:szCs w:val="28"/>
        </w:rPr>
        <w:t>Luật Ban hành văn bản quy phạm pháp luật số 64/2025/QH15, được sửa đổi, bổ sung bởi Luật số 87/2025/QH15; Nghị định số 78/2025/NĐ-CP, được sửa đổi, bổ sung bởi Nghị định số 187/2025/NĐ-CP, quy định trình tự xây dựng, lấy ý kiến, thẩm định, giải trình, tiếp thu và trình ban hành văn bản quy phạm pháp luật của chính quyền địa phương.</w:t>
      </w:r>
    </w:p>
    <w:p w14:paraId="3B62A69B">
      <w:pPr>
        <w:ind w:left="0" w:leftChars="0" w:firstLine="778" w:firstLineChars="278"/>
        <w:jc w:val="both"/>
        <w:rPr>
          <w:sz w:val="28"/>
          <w:szCs w:val="28"/>
        </w:rPr>
      </w:pPr>
      <w:r>
        <w:rPr>
          <w:rFonts w:ascii="Times New Roman" w:hAnsi="Times New Roman" w:eastAsia="Times New Roman"/>
          <w:b w:val="0"/>
          <w:i w:val="0"/>
          <w:sz w:val="28"/>
          <w:szCs w:val="28"/>
        </w:rPr>
        <w:t>Luật Đầu tư theo phương thức đối tác công tư số 64/2020/QH14, các luật sửa đổi, bổ sung và Nghị định số 243/2025/NĐ-CP quy định cơ chế xác định, phân cấp hoặc giao cơ quan có thẩm quyền, cơ quan ký kết hợp đồng đối với dự án PPP.</w:t>
      </w:r>
    </w:p>
    <w:p w14:paraId="3A86546F">
      <w:pPr>
        <w:ind w:left="0" w:leftChars="0" w:firstLine="778" w:firstLineChars="278"/>
        <w:jc w:val="both"/>
        <w:rPr>
          <w:sz w:val="28"/>
          <w:szCs w:val="28"/>
        </w:rPr>
      </w:pPr>
      <w:r>
        <w:rPr>
          <w:rFonts w:ascii="Times New Roman" w:hAnsi="Times New Roman" w:eastAsia="Times New Roman"/>
          <w:b w:val="0"/>
          <w:i w:val="0"/>
          <w:sz w:val="28"/>
          <w:szCs w:val="28"/>
        </w:rPr>
        <w:t>Luật Đầu tư công số 58/2024/QH15, được sửa đổi, bổ sung bởi Luật số 90/2025/QH15, quy định thẩm quyền quyết định đầu tư, điều chỉnh dự án nhóm B, nhóm C do địa phương quản lý và trách nhiệm của người quyết định đầu tư.</w:t>
      </w:r>
    </w:p>
    <w:p w14:paraId="49A58262">
      <w:pPr>
        <w:ind w:left="0" w:leftChars="0" w:firstLine="778" w:firstLineChars="278"/>
        <w:jc w:val="both"/>
        <w:rPr>
          <w:sz w:val="28"/>
          <w:szCs w:val="28"/>
        </w:rPr>
      </w:pPr>
      <w:r>
        <w:rPr>
          <w:rFonts w:ascii="Times New Roman" w:hAnsi="Times New Roman" w:eastAsia="Times New Roman"/>
          <w:b w:val="0"/>
          <w:i w:val="0"/>
          <w:sz w:val="28"/>
          <w:szCs w:val="28"/>
        </w:rPr>
        <w:t>Luật Bảo vệ môi trường số 72/2020/QH14, được sửa đổi, bổ sung bởi Luật số 146/2025/QH15; các nghị định về phân định thẩm quyền, phân quyền, phân cấp trong lĩnh vực nông nghiệp và môi trường là căn cứ xác định phạm vi thẩm định, phê duyệt kết quả thẩm định báo cáo đánh giá tác động môi trường và cấp, điều chỉnh, thu hồi giấy phép môi trường.</w:t>
      </w:r>
    </w:p>
    <w:p w14:paraId="6C1F0E6A">
      <w:pPr>
        <w:ind w:left="0" w:leftChars="0" w:firstLine="778" w:firstLineChars="278"/>
        <w:jc w:val="both"/>
        <w:rPr>
          <w:sz w:val="28"/>
          <w:szCs w:val="28"/>
        </w:rPr>
      </w:pPr>
      <w:r>
        <w:rPr>
          <w:rFonts w:ascii="Times New Roman" w:hAnsi="Times New Roman" w:eastAsia="Times New Roman"/>
          <w:b w:val="0"/>
          <w:i w:val="0"/>
          <w:sz w:val="28"/>
          <w:szCs w:val="28"/>
        </w:rPr>
        <w:t>Nghị định số 193/2026/NĐ-CP quy định thẩm quyền phê duyệt quyết toán vốn đầu tư dự án; cho phép người có thẩm quyền quyết định đầu tư phân cấp hoặc ủy quyền phê duyệt quyết toán theo pháp luật về tổ chức chính quyền địa phương và pháp luật có liên quan.</w:t>
      </w:r>
    </w:p>
    <w:p w14:paraId="21FC0E6E">
      <w:pPr>
        <w:ind w:left="0" w:leftChars="0" w:firstLine="778" w:firstLineChars="278"/>
        <w:jc w:val="both"/>
        <w:rPr>
          <w:sz w:val="28"/>
          <w:szCs w:val="28"/>
        </w:rPr>
      </w:pPr>
      <w:r>
        <w:rPr>
          <w:rFonts w:ascii="Times New Roman" w:hAnsi="Times New Roman" w:eastAsia="Times New Roman"/>
          <w:b w:val="0"/>
          <w:i w:val="0"/>
          <w:sz w:val="28"/>
          <w:szCs w:val="28"/>
        </w:rPr>
        <w:t>Nghị định số 35/2022/NĐ-CP quy định vị trí, chức năng, nhiệm vụ và cơ chế quản lý nhà nước của Ban Quản lý khu công nghiệp, khu kinh tế; là cơ sở để giao Ban Quản lý thực hiện tập trung các nhiệm vụ quản lý đối với dự án, doanh nghiệp và hoạt động trong khu kinh tế, khu công nghiệp.</w:t>
      </w:r>
    </w:p>
    <w:p w14:paraId="4A4AE5EC">
      <w:pPr>
        <w:ind w:left="0" w:leftChars="0" w:firstLine="779" w:firstLineChars="278"/>
        <w:jc w:val="both"/>
        <w:rPr>
          <w:sz w:val="28"/>
          <w:szCs w:val="28"/>
        </w:rPr>
      </w:pPr>
      <w:r>
        <w:rPr>
          <w:rFonts w:ascii="Times New Roman" w:hAnsi="Times New Roman" w:eastAsia="Times New Roman"/>
          <w:b/>
          <w:sz w:val="28"/>
          <w:szCs w:val="28"/>
        </w:rPr>
        <w:t>2. Cơ sở thực tiễn</w:t>
      </w:r>
    </w:p>
    <w:p w14:paraId="45DA6605">
      <w:pPr>
        <w:ind w:left="0" w:leftChars="0" w:firstLine="778" w:firstLineChars="278"/>
        <w:jc w:val="both"/>
        <w:rPr>
          <w:sz w:val="28"/>
          <w:szCs w:val="28"/>
        </w:rPr>
      </w:pPr>
      <w:r>
        <w:rPr>
          <w:rFonts w:ascii="Times New Roman" w:hAnsi="Times New Roman" w:eastAsia="Times New Roman"/>
          <w:b w:val="0"/>
          <w:i w:val="0"/>
          <w:sz w:val="28"/>
          <w:szCs w:val="28"/>
        </w:rPr>
        <w:t>Ban Quản lý Khu kinh tế, công nghiệp thành phố Huế là cơ quan trực thuộc Ủy ban nhân dân thành phố, thực hiện chức năng quản lý nhà nước trực tiếp đối với Khu kinh tế Chân Mây - Lăng Cô, Khu kinh tế cửa khẩu A Đớt và các khu công nghiệp trên địa bàn. Phần lớn hồ sơ đầu tư, xây dựng, môi trường, tài chính và quản lý hợp đồng của các dự án tại các địa bàn này cần được xử lý đồng bộ, tại một đầu mối.</w:t>
      </w:r>
    </w:p>
    <w:p w14:paraId="1FFD31A7">
      <w:pPr>
        <w:ind w:left="0" w:leftChars="0" w:firstLine="778" w:firstLineChars="278"/>
        <w:jc w:val="both"/>
        <w:rPr>
          <w:sz w:val="28"/>
          <w:szCs w:val="28"/>
        </w:rPr>
      </w:pPr>
      <w:r>
        <w:rPr>
          <w:rFonts w:ascii="Times New Roman" w:hAnsi="Times New Roman" w:eastAsia="Times New Roman"/>
          <w:b w:val="0"/>
          <w:i w:val="0"/>
          <w:sz w:val="28"/>
          <w:szCs w:val="28"/>
        </w:rPr>
        <w:t>Việc một số nhiệm vụ vẫn phải chuyển qua nhiều cơ quan hoặc trình cấp thành phố quyết định từng vụ việc làm tăng thời gian phối hợp, kéo dài quy trình nội bộ, phân tán trách nhiệm và chưa phát huy đầy đủ năng lực chuyên môn, khả năng quản lý địa bàn của Ban Quản lý.</w:t>
      </w:r>
    </w:p>
    <w:p w14:paraId="1D2757B7">
      <w:pPr>
        <w:ind w:left="0" w:leftChars="0" w:firstLine="778" w:firstLineChars="278"/>
        <w:jc w:val="both"/>
        <w:rPr>
          <w:sz w:val="28"/>
          <w:szCs w:val="28"/>
        </w:rPr>
      </w:pPr>
      <w:r>
        <w:rPr>
          <w:rFonts w:ascii="Times New Roman" w:hAnsi="Times New Roman" w:eastAsia="Times New Roman"/>
          <w:b w:val="0"/>
          <w:i w:val="0"/>
          <w:sz w:val="28"/>
          <w:szCs w:val="28"/>
        </w:rPr>
        <w:t>Phân cấp, ủy quyền có giới hạn đối với các dự án nhóm B, nhóm C; các dự án PPP thuộc phạm vi quản lý; một số nhiệm vụ về môi trường, quyết toán và sản phẩm, dịch vụ công sẽ góp phần rút ngắn thời gian xử lý, tăng tính chủ động, xác định rõ trách nhiệm cá nhân của Trưởng ban và trách nhiệm của Ban Quản lý.</w:t>
      </w:r>
    </w:p>
    <w:p w14:paraId="0EEE0AA8">
      <w:pPr>
        <w:ind w:left="0" w:leftChars="0" w:firstLine="778" w:firstLineChars="278"/>
        <w:jc w:val="both"/>
        <w:rPr>
          <w:sz w:val="28"/>
          <w:szCs w:val="28"/>
        </w:rPr>
      </w:pPr>
      <w:r>
        <w:rPr>
          <w:rFonts w:ascii="Times New Roman" w:hAnsi="Times New Roman" w:eastAsia="Times New Roman"/>
          <w:b w:val="0"/>
          <w:i w:val="0"/>
          <w:sz w:val="28"/>
          <w:szCs w:val="28"/>
        </w:rPr>
        <w:t>Tuy nhiên, qua ý kiến của Sở Tư pháp, Sở Tài chính, Sở Xây dựng, Sở Nông nghiệp và Môi trường, cần tách rõ nội dung thuộc thẩm quyền của Ủy ban nhân dân thành phố với nội dung thuộc thẩm quyền của Chủ tịch Ủy ban nhân dân thành phố; phân biệt phân cấp với ủy quyền; không quy định lại thẩm quyền đã được luật giao trực tiếp và không làm phát sinh thủ tục hành chính.</w:t>
      </w:r>
    </w:p>
    <w:p w14:paraId="05E67871">
      <w:pPr>
        <w:keepNext w:val="0"/>
        <w:keepLines w:val="0"/>
        <w:pageBreakBefore w:val="0"/>
        <w:widowControl/>
        <w:kinsoku/>
        <w:wordWrap/>
        <w:overflowPunct/>
        <w:topLinePunct w:val="0"/>
        <w:autoSpaceDE/>
        <w:autoSpaceDN/>
        <w:bidi w:val="0"/>
        <w:adjustRightInd/>
        <w:snapToGrid/>
        <w:spacing w:before="120" w:after="120"/>
        <w:ind w:left="0" w:leftChars="0" w:firstLine="779" w:firstLineChars="278"/>
        <w:jc w:val="both"/>
        <w:textAlignment w:val="auto"/>
        <w:rPr>
          <w:rFonts w:ascii="Times New Roman" w:hAnsi="Times New Roman" w:eastAsia="Times New Roman"/>
          <w:b/>
          <w:sz w:val="28"/>
          <w:szCs w:val="28"/>
        </w:rPr>
      </w:pPr>
      <w:r>
        <w:rPr>
          <w:rFonts w:ascii="Times New Roman" w:hAnsi="Times New Roman" w:eastAsia="Times New Roman"/>
          <w:b/>
          <w:sz w:val="28"/>
          <w:szCs w:val="28"/>
        </w:rPr>
        <w:t>II. MỤC ĐÍCH BAN HÀNH VÀ QUAN ĐIỂM XÂY DỰNG DỰ THẢO</w:t>
      </w:r>
    </w:p>
    <w:p w14:paraId="0FC52DC6">
      <w:pPr>
        <w:ind w:left="0" w:leftChars="0" w:firstLine="779" w:firstLineChars="278"/>
        <w:jc w:val="both"/>
        <w:rPr>
          <w:sz w:val="28"/>
          <w:szCs w:val="28"/>
        </w:rPr>
      </w:pPr>
      <w:r>
        <w:rPr>
          <w:rFonts w:ascii="Times New Roman" w:hAnsi="Times New Roman" w:eastAsia="Times New Roman"/>
          <w:b/>
          <w:sz w:val="28"/>
          <w:szCs w:val="28"/>
        </w:rPr>
        <w:t>1. Mục đích ban hành</w:t>
      </w:r>
    </w:p>
    <w:p w14:paraId="099297C9">
      <w:pPr>
        <w:ind w:left="0" w:leftChars="0" w:firstLine="778" w:firstLineChars="278"/>
        <w:jc w:val="both"/>
        <w:rPr>
          <w:sz w:val="28"/>
          <w:szCs w:val="28"/>
        </w:rPr>
      </w:pPr>
      <w:r>
        <w:rPr>
          <w:rFonts w:ascii="Times New Roman" w:hAnsi="Times New Roman" w:eastAsia="Times New Roman"/>
          <w:b w:val="0"/>
          <w:i w:val="0"/>
          <w:sz w:val="28"/>
          <w:szCs w:val="28"/>
        </w:rPr>
        <w:t>Hoàn thiện cơ sở pháp lý để Ban Quản lý chủ động giải quyết một số nhiệm vụ, quyền hạn trong phạm vi khu kinh tế, khu công nghiệp; nâng cao hiệu lực, hiệu quả quản lý nhà nước và chất lượng phục vụ nhà đầu tư, doanh nghiệp.</w:t>
      </w:r>
    </w:p>
    <w:p w14:paraId="6DC16290">
      <w:pPr>
        <w:ind w:left="0" w:leftChars="0" w:firstLine="778" w:firstLineChars="278"/>
        <w:jc w:val="both"/>
        <w:rPr>
          <w:sz w:val="28"/>
          <w:szCs w:val="28"/>
        </w:rPr>
      </w:pPr>
      <w:r>
        <w:rPr>
          <w:rFonts w:ascii="Times New Roman" w:hAnsi="Times New Roman" w:eastAsia="Times New Roman"/>
          <w:b w:val="0"/>
          <w:i w:val="0"/>
          <w:sz w:val="28"/>
          <w:szCs w:val="28"/>
        </w:rPr>
        <w:t>Rút ngắn khâu trung gian, gắn thẩm quyền với trách nhiệm của cơ quan trực tiếp quản lý địa bàn, dự án và nguồn lực; bảo đảm công khai, minh bạch, khả năng kiểm tra và truy cứu trách nhiệm.</w:t>
      </w:r>
    </w:p>
    <w:p w14:paraId="46C92721">
      <w:pPr>
        <w:ind w:left="0" w:leftChars="0" w:firstLine="778" w:firstLineChars="278"/>
        <w:jc w:val="both"/>
        <w:rPr>
          <w:sz w:val="28"/>
          <w:szCs w:val="28"/>
        </w:rPr>
      </w:pPr>
      <w:r>
        <w:rPr>
          <w:rFonts w:ascii="Times New Roman" w:hAnsi="Times New Roman" w:eastAsia="Times New Roman"/>
          <w:b w:val="0"/>
          <w:i w:val="0"/>
          <w:sz w:val="28"/>
          <w:szCs w:val="28"/>
        </w:rPr>
        <w:t>Khắc phục sự chồng chéo giữa các dự thảo trước đây; xác định chính xác cơ quan, người có thẩm quyền phân cấp, ủy quyền; cập nhật đầy đủ văn bản mới có hiệu lực trong năm 2025 và năm 2026.</w:t>
      </w:r>
    </w:p>
    <w:p w14:paraId="677651CC">
      <w:pPr>
        <w:ind w:left="0" w:leftChars="0" w:firstLine="779" w:firstLineChars="278"/>
        <w:jc w:val="both"/>
        <w:rPr>
          <w:sz w:val="28"/>
          <w:szCs w:val="28"/>
        </w:rPr>
      </w:pPr>
      <w:r>
        <w:rPr>
          <w:rFonts w:ascii="Times New Roman" w:hAnsi="Times New Roman" w:eastAsia="Times New Roman"/>
          <w:b/>
          <w:sz w:val="28"/>
          <w:szCs w:val="28"/>
        </w:rPr>
        <w:t>2. Quan điểm xây dựng</w:t>
      </w:r>
    </w:p>
    <w:p w14:paraId="48423BEC">
      <w:pPr>
        <w:ind w:left="0" w:leftChars="0" w:firstLine="778" w:firstLineChars="278"/>
        <w:jc w:val="both"/>
        <w:rPr>
          <w:sz w:val="28"/>
          <w:szCs w:val="28"/>
        </w:rPr>
      </w:pPr>
      <w:r>
        <w:rPr>
          <w:rFonts w:ascii="Times New Roman" w:hAnsi="Times New Roman" w:eastAsia="Times New Roman"/>
          <w:b w:val="0"/>
          <w:i w:val="0"/>
          <w:sz w:val="28"/>
          <w:szCs w:val="28"/>
        </w:rPr>
        <w:t>Chỉ phân cấp, ủy quyền đối với nhiệm vụ thuộc thẩm quyền hợp pháp của cơ quan, người phân cấp, ủy quyền và pháp luật không cấm phân cấp, ủy quyền.</w:t>
      </w:r>
    </w:p>
    <w:p w14:paraId="307367AC">
      <w:pPr>
        <w:ind w:left="0" w:leftChars="0" w:firstLine="778" w:firstLineChars="278"/>
        <w:jc w:val="both"/>
        <w:rPr>
          <w:sz w:val="28"/>
          <w:szCs w:val="28"/>
        </w:rPr>
      </w:pPr>
      <w:r>
        <w:rPr>
          <w:rFonts w:ascii="Times New Roman" w:hAnsi="Times New Roman" w:eastAsia="Times New Roman"/>
          <w:b w:val="0"/>
          <w:i w:val="0"/>
          <w:sz w:val="28"/>
          <w:szCs w:val="28"/>
        </w:rPr>
        <w:t>Mỗi nhiệm vụ chỉ được bố trí trong một văn bản và một cơ chế pháp lý phù hợp; không đồng thời quy định là phân cấp và ủy quyền; không trùng với thẩm quyền luật đã giao trực tiếp cho chủ đầu tư hoặc cơ quan chuyên môn.</w:t>
      </w:r>
    </w:p>
    <w:p w14:paraId="3417BC5A">
      <w:pPr>
        <w:ind w:left="0" w:leftChars="0" w:firstLine="778" w:firstLineChars="278"/>
        <w:jc w:val="both"/>
        <w:rPr>
          <w:sz w:val="28"/>
          <w:szCs w:val="28"/>
        </w:rPr>
      </w:pPr>
      <w:r>
        <w:rPr>
          <w:rFonts w:ascii="Times New Roman" w:hAnsi="Times New Roman" w:eastAsia="Times New Roman"/>
          <w:b w:val="0"/>
          <w:i w:val="0"/>
          <w:sz w:val="28"/>
          <w:szCs w:val="28"/>
        </w:rPr>
        <w:t>Quy định rõ địa bàn, loại dự án, nguồn vốn, điều kiện, trường hợp loại trừ, thời hạn, chế độ báo cáo, kiểm tra, đình chỉ, chấm dứt và xử lý trách nhiệm.</w:t>
      </w:r>
    </w:p>
    <w:p w14:paraId="3B164164">
      <w:pPr>
        <w:ind w:left="0" w:leftChars="0" w:firstLine="778" w:firstLineChars="278"/>
        <w:jc w:val="both"/>
        <w:rPr>
          <w:sz w:val="28"/>
          <w:szCs w:val="28"/>
        </w:rPr>
      </w:pPr>
      <w:r>
        <w:rPr>
          <w:rFonts w:ascii="Times New Roman" w:hAnsi="Times New Roman" w:eastAsia="Times New Roman"/>
          <w:b w:val="0"/>
          <w:i w:val="0"/>
          <w:sz w:val="28"/>
          <w:szCs w:val="28"/>
        </w:rPr>
        <w:t>Không làm phát sinh thành phần hồ sơ, điều kiện, thủ tục hành chính hoặc kéo dài thời hạn giải quyết; bảo đảm tương thích với quy trình thủ tục hành chính đã công bố.</w:t>
      </w:r>
    </w:p>
    <w:p w14:paraId="1EB6F39F">
      <w:pPr>
        <w:ind w:left="0" w:leftChars="0" w:firstLine="778" w:firstLineChars="278"/>
        <w:jc w:val="both"/>
        <w:rPr>
          <w:sz w:val="28"/>
          <w:szCs w:val="28"/>
        </w:rPr>
      </w:pPr>
      <w:r>
        <w:rPr>
          <w:rFonts w:ascii="Times New Roman" w:hAnsi="Times New Roman" w:eastAsia="Times New Roman"/>
          <w:b w:val="0"/>
          <w:i w:val="0"/>
          <w:sz w:val="28"/>
          <w:szCs w:val="28"/>
        </w:rPr>
        <w:t>Phân cấp, ủy quyền phải gắn với năng lực tổ chức bộ máy, nhân sự, điều kiện tài chính, cơ sở dữ liệu và cơ chế phối hợp giữa Ban Quản lý với các sở, ngành, Ủy ban nhân dân cấp xã.</w:t>
      </w:r>
    </w:p>
    <w:p w14:paraId="16335DD7">
      <w:pPr>
        <w:keepNext w:val="0"/>
        <w:keepLines w:val="0"/>
        <w:pageBreakBefore w:val="0"/>
        <w:widowControl/>
        <w:kinsoku/>
        <w:wordWrap/>
        <w:overflowPunct/>
        <w:topLinePunct w:val="0"/>
        <w:autoSpaceDE/>
        <w:autoSpaceDN/>
        <w:bidi w:val="0"/>
        <w:adjustRightInd/>
        <w:snapToGrid/>
        <w:spacing w:before="120" w:after="120"/>
        <w:ind w:left="0" w:leftChars="0" w:firstLine="779" w:firstLineChars="278"/>
        <w:jc w:val="both"/>
        <w:textAlignment w:val="auto"/>
        <w:rPr>
          <w:sz w:val="28"/>
          <w:szCs w:val="28"/>
        </w:rPr>
      </w:pPr>
      <w:r>
        <w:rPr>
          <w:rFonts w:ascii="Times New Roman" w:hAnsi="Times New Roman" w:eastAsia="Times New Roman"/>
          <w:b/>
          <w:sz w:val="28"/>
          <w:szCs w:val="28"/>
        </w:rPr>
        <w:t>III. QUÁ TRÌNH XÂY DỰNG DỰ THẢO</w:t>
      </w:r>
    </w:p>
    <w:p w14:paraId="412DE5B5">
      <w:pPr>
        <w:ind w:left="0" w:leftChars="0" w:firstLine="778" w:firstLineChars="278"/>
        <w:jc w:val="both"/>
        <w:rPr>
          <w:sz w:val="28"/>
          <w:szCs w:val="28"/>
        </w:rPr>
      </w:pPr>
      <w:r>
        <w:rPr>
          <w:rFonts w:ascii="Times New Roman" w:hAnsi="Times New Roman" w:eastAsia="Times New Roman"/>
          <w:b w:val="0"/>
          <w:i w:val="0"/>
          <w:sz w:val="28"/>
          <w:szCs w:val="28"/>
        </w:rPr>
        <w:t>1. Ban Quản lý Khu kinh tế, công nghiệp thành phố Huế rà soát chức năng, nhiệm vụ và lập hồ sơ đề xuất phân cấp, ủy quyền đối với các lĩnh vực PPP, đầu tư công, tài chính - ngân sách, môi trường, sản phẩm, dịch vụ công và một số lĩnh vực quản lý chuyên ngành.</w:t>
      </w:r>
    </w:p>
    <w:p w14:paraId="4A2BB449">
      <w:pPr>
        <w:ind w:left="0" w:leftChars="0" w:firstLine="778" w:firstLineChars="278"/>
        <w:jc w:val="both"/>
        <w:rPr>
          <w:sz w:val="28"/>
          <w:szCs w:val="28"/>
        </w:rPr>
      </w:pPr>
      <w:r>
        <w:rPr>
          <w:rFonts w:ascii="Times New Roman" w:hAnsi="Times New Roman" w:eastAsia="Times New Roman"/>
          <w:b w:val="0"/>
          <w:i w:val="0"/>
          <w:sz w:val="28"/>
          <w:szCs w:val="28"/>
        </w:rPr>
        <w:t>2. Sở Nội vụ tổ chức lấy ý kiến các cơ quan chuyên môn thuộc Ủy ban nhân dân thành phố. Sở Khoa học và Công nghệ thống nhất với nội dung dự thảo. Sở Tư pháp, Sở Tài chính, Sở Xây dựng, Sở Nông nghiệp và Môi trường có ý kiến về thẩm quyền, căn cứ pháp lý, thủ tục hành chính và kỹ thuật dự thảo.</w:t>
      </w:r>
    </w:p>
    <w:p w14:paraId="6DAF0343">
      <w:pPr>
        <w:ind w:left="0" w:leftChars="0" w:firstLine="778" w:firstLineChars="278"/>
        <w:jc w:val="both"/>
        <w:rPr>
          <w:sz w:val="28"/>
          <w:szCs w:val="28"/>
        </w:rPr>
      </w:pPr>
      <w:r>
        <w:rPr>
          <w:rFonts w:ascii="Times New Roman" w:hAnsi="Times New Roman" w:eastAsia="Times New Roman"/>
          <w:b w:val="0"/>
          <w:i w:val="0"/>
          <w:sz w:val="28"/>
          <w:szCs w:val="28"/>
        </w:rPr>
        <w:t>3. Cơ quan soạn thảo đã tiếp thu: loại bỏ nhiệm vụ thẩm định Báo cáo nghiên cứu khả thi, Báo cáo kinh tế - kỹ thuật khỏi Quyết định phân cấp của Ủy ban nhân dân thành phố; chuyển nội dung phê duyệt quyết toán về đúng thẩm quyền của Chủ tịch Ủy ban nhân dân thành phố; loại bỏ nội dung phê duyệt kế hoạch lựa chọn nhà thầu; không đưa thủ tục chuyển nhượng dự án bất động sản vào hồ sơ lần này; bỏ thủ tục cấp đổi, cấp lại giấy phép môi trường; chuyển nhiệm vụ PPP nhóm B, nhóm C sang cơ chế phân cấp.</w:t>
      </w:r>
    </w:p>
    <w:p w14:paraId="1211FC29">
      <w:pPr>
        <w:ind w:left="0" w:leftChars="0" w:firstLine="778" w:firstLineChars="278"/>
        <w:jc w:val="both"/>
        <w:rPr>
          <w:sz w:val="28"/>
          <w:szCs w:val="28"/>
        </w:rPr>
      </w:pPr>
      <w:r>
        <w:rPr>
          <w:rFonts w:ascii="Times New Roman" w:hAnsi="Times New Roman" w:eastAsia="Times New Roman"/>
          <w:b w:val="0"/>
          <w:i w:val="0"/>
          <w:sz w:val="28"/>
          <w:szCs w:val="28"/>
        </w:rPr>
        <w:t>4. Hồ sơ đã được hoàn thiện gồm các dự thảo Quyết định, Bản tổng hợp, giải trình, tiếp thu ý kiến theo Mẫu số 10; Bản so sánh, thuyết minh theo Mẫu số 12; bản đánh giá việc phân cấp, ủy quyền; bản đánh giá thủ tục hành chính và các tài liệu có liên quan.</w:t>
      </w:r>
    </w:p>
    <w:p w14:paraId="297C2211">
      <w:pPr>
        <w:ind w:left="0" w:leftChars="0" w:firstLine="778" w:firstLineChars="278"/>
        <w:jc w:val="both"/>
        <w:rPr>
          <w:sz w:val="28"/>
          <w:szCs w:val="28"/>
        </w:rPr>
      </w:pPr>
      <w:r>
        <w:rPr>
          <w:rFonts w:ascii="Times New Roman" w:hAnsi="Times New Roman" w:eastAsia="Times New Roman"/>
          <w:b w:val="0"/>
          <w:i w:val="0"/>
          <w:sz w:val="28"/>
          <w:szCs w:val="28"/>
        </w:rPr>
        <w:t>5. Sở Nội vụ tiếp tục rà soát tính thống nhất của 04 dự thảo, phạm vi điều chỉnh, chủ thể ban hành, hiệu lực thi hành và trách nhiệm phối hợp trước khi trình Ủy ban nhân dân thành phố.</w:t>
      </w:r>
    </w:p>
    <w:p w14:paraId="5B395B81">
      <w:pPr>
        <w:keepNext w:val="0"/>
        <w:keepLines w:val="0"/>
        <w:pageBreakBefore w:val="0"/>
        <w:widowControl/>
        <w:kinsoku/>
        <w:wordWrap/>
        <w:overflowPunct/>
        <w:topLinePunct w:val="0"/>
        <w:autoSpaceDE/>
        <w:autoSpaceDN/>
        <w:bidi w:val="0"/>
        <w:adjustRightInd/>
        <w:snapToGrid/>
        <w:spacing w:before="120" w:after="120"/>
        <w:ind w:left="0" w:leftChars="0" w:firstLine="779" w:firstLineChars="278"/>
        <w:jc w:val="both"/>
        <w:textAlignment w:val="auto"/>
        <w:rPr>
          <w:rFonts w:ascii="Times New Roman" w:hAnsi="Times New Roman" w:eastAsia="Times New Roman"/>
          <w:b/>
          <w:sz w:val="28"/>
          <w:szCs w:val="28"/>
        </w:rPr>
      </w:pPr>
      <w:r>
        <w:rPr>
          <w:rFonts w:ascii="Times New Roman" w:hAnsi="Times New Roman" w:eastAsia="Times New Roman"/>
          <w:b/>
          <w:sz w:val="28"/>
          <w:szCs w:val="28"/>
        </w:rPr>
        <w:t>IV. BỐ CỤC VÀ NỘI DUNG CƠ BẢN CỦA CÁC DỰ THẢO</w:t>
      </w:r>
    </w:p>
    <w:p w14:paraId="756BE4BF">
      <w:pPr>
        <w:ind w:left="0" w:leftChars="0" w:firstLine="779" w:firstLineChars="278"/>
        <w:jc w:val="both"/>
        <w:rPr>
          <w:sz w:val="28"/>
          <w:szCs w:val="28"/>
        </w:rPr>
      </w:pPr>
      <w:r>
        <w:rPr>
          <w:rFonts w:ascii="Times New Roman" w:hAnsi="Times New Roman" w:eastAsia="Times New Roman"/>
          <w:b/>
          <w:sz w:val="28"/>
          <w:szCs w:val="28"/>
        </w:rPr>
        <w:t>1. Dự thảo Quyết định của Ủy ban nhân dân thành phố về phân cấp trong lĩnh vực PPP</w:t>
      </w:r>
    </w:p>
    <w:p w14:paraId="1C70637B">
      <w:pPr>
        <w:ind w:left="0" w:leftChars="0" w:firstLine="778" w:firstLineChars="278"/>
        <w:jc w:val="both"/>
        <w:rPr>
          <w:sz w:val="28"/>
          <w:szCs w:val="28"/>
        </w:rPr>
      </w:pPr>
      <w:r>
        <w:rPr>
          <w:rFonts w:ascii="Times New Roman" w:hAnsi="Times New Roman" w:eastAsia="Times New Roman"/>
          <w:b w:val="0"/>
          <w:i w:val="0"/>
          <w:sz w:val="28"/>
          <w:szCs w:val="28"/>
        </w:rPr>
        <w:t>Dự thảo gồm 10 điều, quy định phạm vi điều chỉnh, đối tượng áp dụng, nội dung phân cấp, nguyên tắc thực hiện, trách nhiệm của Ban Quản lý và các cơ quan liên quan, kiểm tra và xử lý trách nhiệm, chuyển tiếp, hiệu lực và tổ chức thực hiện.</w:t>
      </w:r>
    </w:p>
    <w:p w14:paraId="696C1C49">
      <w:pPr>
        <w:ind w:left="0" w:leftChars="0" w:firstLine="778" w:firstLineChars="278"/>
        <w:jc w:val="both"/>
        <w:rPr>
          <w:sz w:val="28"/>
          <w:szCs w:val="28"/>
        </w:rPr>
      </w:pPr>
      <w:r>
        <w:rPr>
          <w:rFonts w:ascii="Times New Roman" w:hAnsi="Times New Roman" w:eastAsia="Times New Roman"/>
          <w:b w:val="0"/>
          <w:i w:val="0"/>
          <w:sz w:val="28"/>
          <w:szCs w:val="28"/>
        </w:rPr>
        <w:t>Nội dung trọng tâm là phân cấp cho Ban Quản lý thực hiện nhiệm vụ của cơ quan có thẩm quyền đối với dự án PPP có tổng mức đầu tư tương đương dự án nhóm B, nhóm C thuộc phạm vi quản lý của thành phố và được thực hiện tại khu kinh tế, khu công nghiệp; bao gồm các nhiệm vụ trong chuẩn bị dự án, lựa chọn nhà đầu tư, đàm phán, ký kết, sửa đổi, quản lý, thanh lý và chấm dứt hợp đồng theo pháp luật PPP. Dự thảo quy định rõ các trường hợp không áp dụng và các nội dung vẫn phải do cơ quan có thẩm quyền khác quyết định.</w:t>
      </w:r>
    </w:p>
    <w:p w14:paraId="1ECBA73D">
      <w:pPr>
        <w:ind w:left="0" w:leftChars="0" w:firstLine="779" w:firstLineChars="278"/>
        <w:jc w:val="both"/>
        <w:rPr>
          <w:sz w:val="28"/>
          <w:szCs w:val="28"/>
        </w:rPr>
      </w:pPr>
      <w:r>
        <w:rPr>
          <w:rFonts w:ascii="Times New Roman" w:hAnsi="Times New Roman" w:eastAsia="Times New Roman"/>
          <w:b/>
          <w:sz w:val="28"/>
          <w:szCs w:val="28"/>
        </w:rPr>
        <w:t>2. Dự thảo Quyết định của Chủ tịch Ủy ban nhân dân thành phố về phân cấp một số nhiệm vụ trong lĩnh vực tài chính - ngân sách và môi trường</w:t>
      </w:r>
    </w:p>
    <w:p w14:paraId="4C4066EC">
      <w:pPr>
        <w:ind w:left="0" w:leftChars="0" w:firstLine="778" w:firstLineChars="278"/>
        <w:jc w:val="both"/>
        <w:rPr>
          <w:sz w:val="28"/>
          <w:szCs w:val="28"/>
        </w:rPr>
      </w:pPr>
      <w:r>
        <w:rPr>
          <w:rFonts w:ascii="Times New Roman" w:hAnsi="Times New Roman" w:eastAsia="Times New Roman"/>
          <w:b w:val="0"/>
          <w:i w:val="0"/>
          <w:sz w:val="28"/>
          <w:szCs w:val="28"/>
        </w:rPr>
        <w:t>Dự thảo gồm 10 điều, tập trung vào phê duyệt quyết toán vốn đầu tư đối với dự án thuộc thẩm quyền quyết định đầu tư của Trưởng ban và thực hiện một số nhiệm vụ về đánh giá tác động môi trường, giấy phép môi trường trong phạm vi khu kinh tế, khu công nghiệp.</w:t>
      </w:r>
    </w:p>
    <w:p w14:paraId="2550BB4C">
      <w:pPr>
        <w:ind w:left="0" w:leftChars="0" w:firstLine="778" w:firstLineChars="278"/>
        <w:jc w:val="both"/>
        <w:rPr>
          <w:sz w:val="28"/>
          <w:szCs w:val="28"/>
        </w:rPr>
      </w:pPr>
      <w:r>
        <w:rPr>
          <w:rFonts w:ascii="Times New Roman" w:hAnsi="Times New Roman" w:eastAsia="Times New Roman"/>
          <w:b w:val="0"/>
          <w:i w:val="0"/>
          <w:sz w:val="28"/>
          <w:szCs w:val="28"/>
        </w:rPr>
        <w:t>Nội dung môi trường được giới hạn đối với dự án, cơ sở được thực hiện toàn bộ trong địa bàn do Ban Quản lý quản lý; loại trừ đối tượng thuộc thẩm quyền của Bộ Nông nghiệp và Môi trường, Bộ Quốc phòng, Bộ Công an, Chủ tịch Ủy ban nhân dân cấp xã và trường hợp pháp luật không cho phép phân cấp. Dự thảo không còn quy định thủ tục cấp đổi, cấp lại giấy phép môi trường.</w:t>
      </w:r>
    </w:p>
    <w:p w14:paraId="3453815E">
      <w:pPr>
        <w:ind w:left="0" w:leftChars="0" w:firstLine="779" w:firstLineChars="278"/>
        <w:jc w:val="both"/>
        <w:rPr>
          <w:sz w:val="28"/>
          <w:szCs w:val="28"/>
        </w:rPr>
      </w:pPr>
      <w:r>
        <w:rPr>
          <w:rFonts w:ascii="Times New Roman" w:hAnsi="Times New Roman" w:eastAsia="Times New Roman"/>
          <w:b/>
          <w:sz w:val="28"/>
          <w:szCs w:val="28"/>
        </w:rPr>
        <w:t>3. Dự thảo Quyết định của Ủy ban nhân dân thành phố về ủy quyền trong lĩnh vực PPP và sản phẩm, dịch vụ công</w:t>
      </w:r>
    </w:p>
    <w:p w14:paraId="74A19FB2">
      <w:pPr>
        <w:ind w:left="0" w:leftChars="0" w:firstLine="778" w:firstLineChars="278"/>
        <w:jc w:val="both"/>
        <w:rPr>
          <w:sz w:val="28"/>
          <w:szCs w:val="28"/>
        </w:rPr>
      </w:pPr>
      <w:r>
        <w:rPr>
          <w:rFonts w:ascii="Times New Roman" w:hAnsi="Times New Roman" w:eastAsia="Times New Roman"/>
          <w:b w:val="0"/>
          <w:i w:val="0"/>
          <w:sz w:val="28"/>
          <w:szCs w:val="28"/>
        </w:rPr>
        <w:t>Sau khi tiếp thu ý kiến Sở Tư pháp và Sở Tài chính, nội dung PPP thuộc trường hợp phân cấp đã được chuyển sang dự thảo Quyết định phân cấp. Phần còn lại liên quan đến giao nhiệm vụ, đặt hàng hoặc đấu thầu cung cấp sản phẩm, dịch vụ công chỉ được trình khi xác định rõ cơ sở ủy quyền, phạm vi dự toán, đối tượng cung ứng và sự phù hợp với Nghị định số 32/2019/NĐ-CP cùng các văn bản sửa đổi, bổ sung.</w:t>
      </w:r>
    </w:p>
    <w:p w14:paraId="312A516A">
      <w:pPr>
        <w:ind w:left="0" w:leftChars="0" w:firstLine="778" w:firstLineChars="278"/>
        <w:jc w:val="both"/>
        <w:rPr>
          <w:sz w:val="28"/>
          <w:szCs w:val="28"/>
        </w:rPr>
      </w:pPr>
      <w:r>
        <w:rPr>
          <w:rFonts w:ascii="Times New Roman" w:hAnsi="Times New Roman" w:eastAsia="Times New Roman"/>
          <w:b w:val="0"/>
          <w:i w:val="0"/>
          <w:sz w:val="28"/>
          <w:szCs w:val="28"/>
        </w:rPr>
        <w:t>Sở Nội vụ đề nghị Ủy ban nhân dân thành phố cân nhắc chưa ban hành riêng Quyết định này nếu nội dung còn lại chỉ là nhiệm vụ đã được pháp luật giao trực tiếp cho cơ quan quản lý trực thuộc hoặc có thể được xác định trong quy định chức năng, nhiệm vụ của Ban Quản lý.</w:t>
      </w:r>
    </w:p>
    <w:p w14:paraId="7BC06CCF">
      <w:pPr>
        <w:ind w:left="0" w:leftChars="0" w:firstLine="779" w:firstLineChars="278"/>
        <w:jc w:val="both"/>
        <w:rPr>
          <w:sz w:val="28"/>
          <w:szCs w:val="28"/>
        </w:rPr>
      </w:pPr>
      <w:r>
        <w:rPr>
          <w:rFonts w:ascii="Times New Roman" w:hAnsi="Times New Roman" w:eastAsia="Times New Roman"/>
          <w:b/>
          <w:sz w:val="28"/>
          <w:szCs w:val="28"/>
        </w:rPr>
        <w:t>4. Dự thảo Quyết định của Chủ tịch Ủy ban nhân dân thành phố về ủy quyền quyết định đầu tư công</w:t>
      </w:r>
    </w:p>
    <w:p w14:paraId="2D9039E6">
      <w:pPr>
        <w:ind w:left="0" w:leftChars="0" w:firstLine="778" w:firstLineChars="278"/>
        <w:jc w:val="both"/>
        <w:rPr>
          <w:sz w:val="28"/>
          <w:szCs w:val="28"/>
        </w:rPr>
      </w:pPr>
      <w:r>
        <w:rPr>
          <w:rFonts w:ascii="Times New Roman" w:hAnsi="Times New Roman" w:eastAsia="Times New Roman"/>
          <w:b w:val="0"/>
          <w:i w:val="0"/>
          <w:sz w:val="28"/>
          <w:szCs w:val="28"/>
        </w:rPr>
        <w:t>Dự thảo gồm 08 điều, ủy quyền cho Trưởng ban quyết định đầu tư, quyết định điều chỉnh dự án nhóm B, nhóm C do cấp thành phố quản lý, thuộc phạm vi quản lý nhà nước của Ban và do Ban hoặc đơn vị trực thuộc Ban được giao làm chủ đầu tư.</w:t>
      </w:r>
    </w:p>
    <w:p w14:paraId="5DCCE60D">
      <w:pPr>
        <w:ind w:left="0" w:leftChars="0" w:firstLine="778" w:firstLineChars="278"/>
        <w:jc w:val="both"/>
        <w:rPr>
          <w:sz w:val="28"/>
          <w:szCs w:val="28"/>
        </w:rPr>
      </w:pPr>
      <w:r>
        <w:rPr>
          <w:rFonts w:ascii="Times New Roman" w:hAnsi="Times New Roman" w:eastAsia="Times New Roman"/>
          <w:b w:val="0"/>
          <w:i w:val="0"/>
          <w:sz w:val="28"/>
          <w:szCs w:val="28"/>
        </w:rPr>
        <w:t>Dự thảo quy định điều kiện dự án; loại trừ chương trình đầu tư công, dự án quan trọng quốc gia, dự án nhóm A, dự án ODA, dự án khẩn cấp, quốc phòng, an ninh, bí mật nhà nước, vốn nhà nước ngoài đầu tư công và trường hợp pháp luật yêu cầu Chủ tịch Ủy ban nhân dân thành phố trực tiếp quyết định. Thời hạn ủy quyền dự kiến đến hết ngày 31 tháng 12 năm 2030.</w:t>
      </w:r>
    </w:p>
    <w:p w14:paraId="0808746F">
      <w:pPr>
        <w:keepNext w:val="0"/>
        <w:keepLines w:val="0"/>
        <w:pageBreakBefore w:val="0"/>
        <w:widowControl/>
        <w:kinsoku/>
        <w:wordWrap/>
        <w:overflowPunct/>
        <w:topLinePunct w:val="0"/>
        <w:autoSpaceDE/>
        <w:autoSpaceDN/>
        <w:bidi w:val="0"/>
        <w:adjustRightInd/>
        <w:snapToGrid/>
        <w:spacing w:before="120" w:after="120"/>
        <w:ind w:left="0" w:leftChars="0" w:firstLine="779" w:firstLineChars="278"/>
        <w:jc w:val="both"/>
        <w:textAlignment w:val="auto"/>
        <w:rPr>
          <w:rFonts w:ascii="Times New Roman" w:hAnsi="Times New Roman" w:eastAsia="Times New Roman"/>
          <w:b/>
          <w:sz w:val="28"/>
          <w:szCs w:val="28"/>
        </w:rPr>
      </w:pPr>
      <w:r>
        <w:rPr>
          <w:rFonts w:ascii="Times New Roman" w:hAnsi="Times New Roman" w:eastAsia="Times New Roman"/>
          <w:b/>
          <w:sz w:val="28"/>
          <w:szCs w:val="28"/>
        </w:rPr>
        <w:t>V. TÍNH TƯƠNG THÍCH, NGUỒN LỰC VÀ TÁC ĐỘNG THỦ TỤC HÀNH CHÍNH</w:t>
      </w:r>
    </w:p>
    <w:p w14:paraId="6D3EB0D2">
      <w:pPr>
        <w:ind w:left="0" w:leftChars="0" w:firstLine="779" w:firstLineChars="278"/>
        <w:jc w:val="both"/>
        <w:rPr>
          <w:sz w:val="28"/>
          <w:szCs w:val="28"/>
        </w:rPr>
      </w:pPr>
      <w:r>
        <w:rPr>
          <w:rFonts w:ascii="Times New Roman" w:hAnsi="Times New Roman" w:eastAsia="Times New Roman"/>
          <w:b/>
          <w:sz w:val="28"/>
          <w:szCs w:val="28"/>
        </w:rPr>
        <w:t>1. Tính hợp hiến, hợp pháp và thống nhất</w:t>
      </w:r>
    </w:p>
    <w:p w14:paraId="1D6BDBC5">
      <w:pPr>
        <w:ind w:left="0" w:leftChars="0" w:firstLine="778" w:firstLineChars="278"/>
        <w:jc w:val="both"/>
        <w:rPr>
          <w:sz w:val="28"/>
          <w:szCs w:val="28"/>
        </w:rPr>
      </w:pPr>
      <w:r>
        <w:rPr>
          <w:rFonts w:ascii="Times New Roman" w:hAnsi="Times New Roman" w:eastAsia="Times New Roman"/>
          <w:b w:val="0"/>
          <w:i w:val="0"/>
          <w:sz w:val="28"/>
          <w:szCs w:val="28"/>
        </w:rPr>
        <w:t>Các dự thảo được xây dựng trong phạm vi thẩm quyền của Ủy ban nhân dân thành phố, Chủ tịch Ủy ban nhân dân thành phố theo pháp luật về tổ chức chính quyền địa phương và pháp luật chuyên ngành. Nội dung không quy định chính sách mới, không đặt ra điều kiện đầu tư kinh doanh và không hạn chế quyền, lợi ích hợp pháp của tổ chức, cá nhân ngoài quy định của luật, nghị định.</w:t>
      </w:r>
    </w:p>
    <w:p w14:paraId="56CD1B1A">
      <w:pPr>
        <w:ind w:left="0" w:leftChars="0" w:firstLine="778" w:firstLineChars="278"/>
        <w:jc w:val="both"/>
        <w:rPr>
          <w:sz w:val="28"/>
          <w:szCs w:val="28"/>
        </w:rPr>
      </w:pPr>
      <w:r>
        <w:rPr>
          <w:rFonts w:ascii="Times New Roman" w:hAnsi="Times New Roman" w:eastAsia="Times New Roman"/>
          <w:b w:val="0"/>
          <w:i w:val="0"/>
          <w:sz w:val="28"/>
          <w:szCs w:val="28"/>
        </w:rPr>
        <w:t>Trước khi ký ban hành, cơ quan chủ trì cần cập nhật lần cuối tình trạng hiệu lực, số, ngày và tên đầy đủ của các luật, nghị định được viện dẫn; bảo đảm thống nhất giữa tên văn bản, chủ thể ban hành và nội dung Điều 1 của từng Quyết định.</w:t>
      </w:r>
    </w:p>
    <w:p w14:paraId="64521345">
      <w:pPr>
        <w:ind w:left="0" w:leftChars="0" w:firstLine="779" w:firstLineChars="278"/>
        <w:jc w:val="both"/>
        <w:rPr>
          <w:sz w:val="28"/>
          <w:szCs w:val="28"/>
        </w:rPr>
      </w:pPr>
      <w:r>
        <w:rPr>
          <w:rFonts w:ascii="Times New Roman" w:hAnsi="Times New Roman" w:eastAsia="Times New Roman"/>
          <w:b/>
          <w:sz w:val="28"/>
          <w:szCs w:val="28"/>
        </w:rPr>
        <w:t>2. Nguồn lực thực hiện</w:t>
      </w:r>
    </w:p>
    <w:p w14:paraId="3EEA2301">
      <w:pPr>
        <w:ind w:left="0" w:leftChars="0" w:firstLine="778" w:firstLineChars="278"/>
        <w:jc w:val="both"/>
        <w:rPr>
          <w:sz w:val="28"/>
          <w:szCs w:val="28"/>
        </w:rPr>
      </w:pPr>
      <w:r>
        <w:rPr>
          <w:rFonts w:ascii="Times New Roman" w:hAnsi="Times New Roman" w:eastAsia="Times New Roman"/>
          <w:b w:val="0"/>
          <w:i w:val="0"/>
          <w:sz w:val="28"/>
          <w:szCs w:val="28"/>
        </w:rPr>
        <w:t>Ban Quản lý chịu trách nhiệm bố trí nhân sự, bộ phận chuyên môn, kinh phí, cơ sở vật chất, hệ thống thông tin, hồ sơ và dữ liệu từ nguồn lực được giao; không làm tăng biên chế và không yêu cầu bổ sung khoản chi ngoài dự toán khi chưa được cấp có thẩm quyền quyết định.</w:t>
      </w:r>
    </w:p>
    <w:p w14:paraId="541EF2D3">
      <w:pPr>
        <w:ind w:left="0" w:leftChars="0" w:firstLine="778" w:firstLineChars="278"/>
        <w:jc w:val="both"/>
        <w:rPr>
          <w:sz w:val="28"/>
          <w:szCs w:val="28"/>
        </w:rPr>
      </w:pPr>
      <w:r>
        <w:rPr>
          <w:rFonts w:ascii="Times New Roman" w:hAnsi="Times New Roman" w:eastAsia="Times New Roman"/>
          <w:b w:val="0"/>
          <w:i w:val="0"/>
          <w:sz w:val="28"/>
          <w:szCs w:val="28"/>
        </w:rPr>
        <w:t>Các sở chuyên ngành tiếp tục thực hiện hướng dẫn, kiểm tra, phối hợp thẩm định hoặc tham gia ý kiến trong phạm vi chức năng; không chuyển giao các nhiệm vụ mà pháp luật quy định sở chuyên ngành phải trực tiếp thực hiện.</w:t>
      </w:r>
    </w:p>
    <w:p w14:paraId="79A25AE7">
      <w:pPr>
        <w:ind w:left="0" w:leftChars="0" w:firstLine="779" w:firstLineChars="278"/>
        <w:jc w:val="both"/>
        <w:rPr>
          <w:sz w:val="28"/>
          <w:szCs w:val="28"/>
        </w:rPr>
      </w:pPr>
      <w:r>
        <w:rPr>
          <w:rFonts w:ascii="Times New Roman" w:hAnsi="Times New Roman" w:eastAsia="Times New Roman"/>
          <w:b/>
          <w:sz w:val="28"/>
          <w:szCs w:val="28"/>
        </w:rPr>
        <w:t>3. Tác động đối với thủ tục hành chính</w:t>
      </w:r>
    </w:p>
    <w:p w14:paraId="0E3EBBF3">
      <w:pPr>
        <w:ind w:left="0" w:leftChars="0" w:firstLine="778" w:firstLineChars="278"/>
        <w:jc w:val="both"/>
        <w:rPr>
          <w:sz w:val="28"/>
          <w:szCs w:val="28"/>
        </w:rPr>
      </w:pPr>
      <w:r>
        <w:rPr>
          <w:rFonts w:ascii="Times New Roman" w:hAnsi="Times New Roman" w:eastAsia="Times New Roman"/>
          <w:b w:val="0"/>
          <w:i w:val="0"/>
          <w:sz w:val="28"/>
          <w:szCs w:val="28"/>
        </w:rPr>
        <w:t>Các dự thảo không quy định thủ tục hành chính mới, không bổ sung thành phần hồ sơ, điều kiện, thời hạn giải quyết. Việc thay đổi cơ quan hoặc người giải quyết thủ tục phải được cập nhật, công bố và công khai theo quy định trước khi tổ chức thực hiện.</w:t>
      </w:r>
    </w:p>
    <w:p w14:paraId="295EA4C2">
      <w:pPr>
        <w:ind w:left="0" w:leftChars="0" w:firstLine="778" w:firstLineChars="278"/>
        <w:jc w:val="both"/>
        <w:rPr>
          <w:sz w:val="28"/>
          <w:szCs w:val="28"/>
        </w:rPr>
      </w:pPr>
      <w:r>
        <w:rPr>
          <w:rFonts w:ascii="Times New Roman" w:hAnsi="Times New Roman" w:eastAsia="Times New Roman"/>
          <w:b w:val="0"/>
          <w:i w:val="0"/>
          <w:sz w:val="28"/>
          <w:szCs w:val="28"/>
        </w:rPr>
        <w:t>Đối với thủ tục môi trường và các thủ tục có quy trình liên thông, Ban Quản lý phối hợp Sở Nông nghiệp và Môi trường, Trung tâm Phục vụ hành chính công để cập nhật quy trình nội bộ, quy trình điện tử và cơ quan thực hiện.</w:t>
      </w:r>
    </w:p>
    <w:p w14:paraId="496CBF76">
      <w:pPr>
        <w:keepNext w:val="0"/>
        <w:keepLines w:val="0"/>
        <w:pageBreakBefore w:val="0"/>
        <w:widowControl/>
        <w:kinsoku/>
        <w:wordWrap/>
        <w:overflowPunct/>
        <w:topLinePunct w:val="0"/>
        <w:autoSpaceDE/>
        <w:autoSpaceDN/>
        <w:bidi w:val="0"/>
        <w:adjustRightInd/>
        <w:snapToGrid/>
        <w:spacing w:before="120" w:after="120"/>
        <w:ind w:left="0" w:leftChars="0" w:firstLine="779" w:firstLineChars="278"/>
        <w:jc w:val="both"/>
        <w:textAlignment w:val="auto"/>
        <w:rPr>
          <w:sz w:val="28"/>
          <w:szCs w:val="28"/>
        </w:rPr>
      </w:pPr>
      <w:r>
        <w:rPr>
          <w:rFonts w:ascii="Times New Roman" w:hAnsi="Times New Roman" w:eastAsia="Times New Roman"/>
          <w:b/>
          <w:sz w:val="28"/>
          <w:szCs w:val="28"/>
        </w:rPr>
        <w:t>VI. NHỮNG VẤN ĐỀ XIN Ý KIẾN ỦY BAN NHÂN DÂN THÀNH PHỐ</w:t>
      </w:r>
    </w:p>
    <w:p w14:paraId="3CA20402">
      <w:pPr>
        <w:ind w:left="0" w:leftChars="0" w:firstLine="778" w:firstLineChars="278"/>
        <w:jc w:val="both"/>
        <w:rPr>
          <w:sz w:val="28"/>
          <w:szCs w:val="28"/>
        </w:rPr>
      </w:pPr>
      <w:r>
        <w:rPr>
          <w:rFonts w:ascii="Times New Roman" w:hAnsi="Times New Roman" w:eastAsia="Times New Roman"/>
          <w:b w:val="0"/>
          <w:i w:val="0"/>
          <w:sz w:val="28"/>
          <w:szCs w:val="28"/>
        </w:rPr>
        <w:t>1. Thống nhất ban hành Quyết định của Ủy ban nhân dân thành phố phân cấp cho Ban Quản lý thực hiện nhiệm vụ của cơ quan có thẩm quyền đối với dự án PPP nhóm B, nhóm C thuộc phạm vi quản lý, thay cho phương án ủy quyền trước đây.</w:t>
      </w:r>
    </w:p>
    <w:p w14:paraId="5E9511CF">
      <w:pPr>
        <w:ind w:left="0" w:leftChars="0" w:firstLine="778" w:firstLineChars="278"/>
        <w:jc w:val="both"/>
        <w:rPr>
          <w:sz w:val="28"/>
          <w:szCs w:val="28"/>
        </w:rPr>
      </w:pPr>
      <w:r>
        <w:rPr>
          <w:rFonts w:ascii="Times New Roman" w:hAnsi="Times New Roman" w:eastAsia="Times New Roman"/>
          <w:b w:val="0"/>
          <w:i w:val="0"/>
          <w:sz w:val="28"/>
          <w:szCs w:val="28"/>
        </w:rPr>
        <w:t>2. Thống nhất về hình thức pháp lý đối với nhiệm vụ phê duyệt quyết toán và nhiệm vụ môi trường thuộc thẩm quyền Chủ tịch Ủy ban nhân dân thành phố: ban hành một Quyết định phân cấp chung.</w:t>
      </w:r>
    </w:p>
    <w:p w14:paraId="60261641">
      <w:pPr>
        <w:ind w:left="0" w:leftChars="0" w:firstLine="778" w:firstLineChars="278"/>
        <w:jc w:val="both"/>
        <w:rPr>
          <w:sz w:val="28"/>
          <w:szCs w:val="28"/>
        </w:rPr>
      </w:pPr>
      <w:r>
        <w:rPr>
          <w:rFonts w:ascii="Times New Roman" w:hAnsi="Times New Roman" w:eastAsia="Times New Roman"/>
          <w:b w:val="0"/>
          <w:i w:val="0"/>
          <w:sz w:val="28"/>
          <w:szCs w:val="28"/>
        </w:rPr>
        <w:t>3. Thống nhất ban hành Quyết định ủy quyền của Chủ tịch Ủy ban nhân dân thành phố về quyết định đầu tư, điều chỉnh dự án đầu tư công nhóm B, nhóm C đến hết ngày 31 tháng 12 năm 2030.</w:t>
      </w:r>
    </w:p>
    <w:p w14:paraId="6BEE204E">
      <w:pPr>
        <w:ind w:left="0" w:leftChars="0" w:firstLine="778" w:firstLineChars="278"/>
        <w:jc w:val="both"/>
        <w:rPr>
          <w:sz w:val="28"/>
          <w:szCs w:val="28"/>
        </w:rPr>
      </w:pPr>
      <w:r>
        <w:rPr>
          <w:rFonts w:ascii="Times New Roman" w:hAnsi="Times New Roman" w:eastAsia="Times New Roman"/>
          <w:b w:val="0"/>
          <w:i w:val="0"/>
          <w:sz w:val="28"/>
          <w:szCs w:val="28"/>
        </w:rPr>
        <w:t>4. Thống nhất ban hành Quyết định ủy quyền của Ủy ban nhân dân thành phố về sản phẩm, dịch vụ công.</w:t>
      </w:r>
    </w:p>
    <w:p w14:paraId="3AFC6893">
      <w:pPr>
        <w:ind w:left="0" w:leftChars="0" w:firstLine="778" w:firstLineChars="278"/>
        <w:jc w:val="both"/>
        <w:rPr>
          <w:sz w:val="28"/>
          <w:szCs w:val="28"/>
        </w:rPr>
      </w:pPr>
      <w:r>
        <w:rPr>
          <w:rFonts w:ascii="Times New Roman" w:hAnsi="Times New Roman" w:eastAsia="Times New Roman"/>
          <w:b w:val="0"/>
          <w:i w:val="0"/>
          <w:sz w:val="28"/>
          <w:szCs w:val="28"/>
        </w:rPr>
        <w:t>5. Giao Ban Quản lý phối hợp các sở chuyên ngành hoàn thiện quy trình nội bộ, cập nhật thủ tục hành chính, chuẩn bị nhân lực và cơ sở dữ liệu trước ngày các Quyết định có hiệu lực.</w:t>
      </w:r>
    </w:p>
    <w:p w14:paraId="1A085B36">
      <w:pPr>
        <w:keepNext w:val="0"/>
        <w:keepLines w:val="0"/>
        <w:pageBreakBefore w:val="0"/>
        <w:widowControl/>
        <w:kinsoku/>
        <w:wordWrap/>
        <w:overflowPunct/>
        <w:topLinePunct w:val="0"/>
        <w:autoSpaceDE/>
        <w:autoSpaceDN/>
        <w:bidi w:val="0"/>
        <w:adjustRightInd/>
        <w:snapToGrid/>
        <w:spacing w:before="120" w:after="120"/>
        <w:ind w:left="0" w:leftChars="0" w:firstLine="779" w:firstLineChars="278"/>
        <w:jc w:val="both"/>
        <w:textAlignment w:val="auto"/>
        <w:rPr>
          <w:sz w:val="28"/>
          <w:szCs w:val="28"/>
        </w:rPr>
      </w:pPr>
      <w:r>
        <w:rPr>
          <w:rFonts w:ascii="Times New Roman" w:hAnsi="Times New Roman" w:eastAsia="Times New Roman"/>
          <w:b/>
          <w:sz w:val="28"/>
          <w:szCs w:val="28"/>
        </w:rPr>
        <w:t>VII. ĐỀ NGHỊ VÀ KIẾN NGHỊ</w:t>
      </w:r>
    </w:p>
    <w:p w14:paraId="48E283D3">
      <w:pPr>
        <w:ind w:left="0" w:leftChars="0" w:firstLine="778" w:firstLineChars="278"/>
        <w:jc w:val="both"/>
        <w:rPr>
          <w:sz w:val="28"/>
          <w:szCs w:val="28"/>
        </w:rPr>
      </w:pPr>
      <w:r>
        <w:rPr>
          <w:rFonts w:ascii="Times New Roman" w:hAnsi="Times New Roman" w:eastAsia="Times New Roman"/>
          <w:b w:val="0"/>
          <w:i w:val="0"/>
          <w:sz w:val="28"/>
          <w:szCs w:val="28"/>
        </w:rPr>
        <w:t>Sở Nội vụ kính đề nghị Ủy ban nhân dân thành phố:</w:t>
      </w:r>
    </w:p>
    <w:p w14:paraId="6B00E501">
      <w:pPr>
        <w:ind w:left="0" w:leftChars="0" w:firstLine="778" w:firstLineChars="278"/>
        <w:jc w:val="both"/>
        <w:rPr>
          <w:sz w:val="28"/>
          <w:szCs w:val="28"/>
        </w:rPr>
      </w:pPr>
      <w:r>
        <w:rPr>
          <w:rFonts w:ascii="Times New Roman" w:hAnsi="Times New Roman" w:eastAsia="Times New Roman"/>
          <w:b w:val="0"/>
          <w:i w:val="0"/>
          <w:sz w:val="28"/>
          <w:szCs w:val="28"/>
        </w:rPr>
        <w:t>1. Xem xét, thống nhất chủ trương và phương án xử lý các vấn đề tại Mục VI Tờ trình này.</w:t>
      </w:r>
    </w:p>
    <w:p w14:paraId="58EC9552">
      <w:pPr>
        <w:ind w:left="0" w:leftChars="0" w:firstLine="778" w:firstLineChars="278"/>
        <w:jc w:val="both"/>
        <w:rPr>
          <w:sz w:val="28"/>
          <w:szCs w:val="28"/>
        </w:rPr>
      </w:pPr>
      <w:r>
        <w:rPr>
          <w:rFonts w:ascii="Times New Roman" w:hAnsi="Times New Roman" w:eastAsia="Times New Roman"/>
          <w:b w:val="0"/>
          <w:i w:val="0"/>
          <w:sz w:val="28"/>
          <w:szCs w:val="28"/>
        </w:rPr>
        <w:t>2. Thông qua, ban hành các Quyết định đã đủ điều kiện; giao Sở Nội vụ phối hợp Sở Tư pháp, Sở Tài chính, Sở Nông nghiệp và Môi trường, Sở Xây dựng và Ban Quản lý hoàn thiện kỹ thuật văn bản theo ý kiến của Ủy ban nhân dân thành phố.</w:t>
      </w:r>
    </w:p>
    <w:p w14:paraId="2322AB8F">
      <w:pPr>
        <w:ind w:left="0" w:leftChars="0" w:firstLine="778" w:firstLineChars="278"/>
        <w:jc w:val="both"/>
        <w:rPr>
          <w:sz w:val="28"/>
          <w:szCs w:val="28"/>
        </w:rPr>
      </w:pPr>
      <w:r>
        <w:rPr>
          <w:rFonts w:ascii="Times New Roman" w:hAnsi="Times New Roman" w:eastAsia="Times New Roman"/>
          <w:b w:val="0"/>
          <w:i w:val="0"/>
          <w:sz w:val="28"/>
          <w:szCs w:val="28"/>
        </w:rPr>
        <w:t>3. Trường hợp cần làm rõ thêm nội dung chuyên ngành, cho phép tổ chức cuộc họp liên ngành trước khi trình Chủ tịch Ủy ban nhân dân thành phố ký ban hành.</w:t>
      </w:r>
    </w:p>
    <w:p w14:paraId="7AB88EA5">
      <w:pPr>
        <w:ind w:left="0" w:leftChars="0" w:firstLine="778" w:firstLineChars="278"/>
        <w:jc w:val="both"/>
        <w:rPr>
          <w:sz w:val="28"/>
          <w:szCs w:val="28"/>
        </w:rPr>
      </w:pPr>
      <w:r>
        <w:rPr>
          <w:rFonts w:ascii="Times New Roman" w:hAnsi="Times New Roman" w:eastAsia="Times New Roman"/>
          <w:b w:val="0"/>
          <w:i w:val="0"/>
          <w:sz w:val="28"/>
          <w:szCs w:val="28"/>
        </w:rPr>
        <w:t>4. Giao Sở Nội vụ theo dõi, kiểm tra, định kỳ tổng hợp kết quả thực hiện phân cấp, ủy quyền; tham mưu sửa đổi, bổ sung, đình chỉ hoặc chấm dứt khi pháp luật thay đổi hoặc việc thực hiện không bảo đảm yêu cầu.</w:t>
      </w:r>
    </w:p>
    <w:p w14:paraId="12186B84">
      <w:pPr>
        <w:keepNext w:val="0"/>
        <w:keepLines w:val="0"/>
        <w:pageBreakBefore w:val="0"/>
        <w:widowControl/>
        <w:kinsoku/>
        <w:wordWrap/>
        <w:overflowPunct/>
        <w:topLinePunct w:val="0"/>
        <w:autoSpaceDE/>
        <w:autoSpaceDN/>
        <w:bidi w:val="0"/>
        <w:adjustRightInd/>
        <w:snapToGrid/>
        <w:spacing w:before="120" w:after="120"/>
        <w:ind w:left="0" w:leftChars="0" w:firstLine="779" w:firstLineChars="278"/>
        <w:jc w:val="both"/>
        <w:textAlignment w:val="auto"/>
        <w:rPr>
          <w:rFonts w:ascii="Times New Roman" w:hAnsi="Times New Roman" w:eastAsia="Times New Roman"/>
          <w:b/>
          <w:sz w:val="28"/>
          <w:szCs w:val="28"/>
        </w:rPr>
      </w:pPr>
      <w:r>
        <w:rPr>
          <w:rFonts w:ascii="Times New Roman" w:hAnsi="Times New Roman" w:eastAsia="Times New Roman"/>
          <w:b/>
          <w:sz w:val="28"/>
          <w:szCs w:val="28"/>
        </w:rPr>
        <w:t>VIII. HỒ SƠ KÈM THEO</w:t>
      </w:r>
    </w:p>
    <w:p w14:paraId="08BC8115">
      <w:pPr>
        <w:ind w:left="0" w:leftChars="0" w:firstLine="778" w:firstLineChars="278"/>
        <w:jc w:val="both"/>
        <w:rPr>
          <w:sz w:val="28"/>
          <w:szCs w:val="28"/>
        </w:rPr>
      </w:pPr>
      <w:r>
        <w:rPr>
          <w:rFonts w:ascii="Times New Roman" w:hAnsi="Times New Roman" w:eastAsia="Times New Roman"/>
          <w:b w:val="0"/>
          <w:i w:val="0"/>
          <w:sz w:val="28"/>
          <w:szCs w:val="28"/>
        </w:rPr>
        <w:t>1. Các dự thảo Quyết định sau tiếp thu, chỉnh lý.</w:t>
      </w:r>
    </w:p>
    <w:p w14:paraId="43D12F51">
      <w:pPr>
        <w:ind w:left="0" w:leftChars="0" w:firstLine="778" w:firstLineChars="278"/>
        <w:jc w:val="both"/>
        <w:rPr>
          <w:sz w:val="28"/>
          <w:szCs w:val="28"/>
        </w:rPr>
      </w:pPr>
      <w:r>
        <w:rPr>
          <w:rFonts w:ascii="Times New Roman" w:hAnsi="Times New Roman" w:eastAsia="Times New Roman"/>
          <w:b w:val="0"/>
          <w:i w:val="0"/>
          <w:sz w:val="28"/>
          <w:szCs w:val="28"/>
        </w:rPr>
        <w:t>2. Bản tổng hợp, giải trình, tiếp thu ý kiến góp ý theo Mẫu số 10 Phụ lục IV.</w:t>
      </w:r>
    </w:p>
    <w:p w14:paraId="46CF8FC1">
      <w:pPr>
        <w:ind w:left="0" w:leftChars="0" w:firstLine="778" w:firstLineChars="278"/>
        <w:jc w:val="both"/>
        <w:rPr>
          <w:sz w:val="28"/>
          <w:szCs w:val="28"/>
        </w:rPr>
      </w:pPr>
      <w:r>
        <w:rPr>
          <w:rFonts w:ascii="Times New Roman" w:hAnsi="Times New Roman" w:eastAsia="Times New Roman"/>
          <w:b w:val="0"/>
          <w:i w:val="0"/>
          <w:sz w:val="28"/>
          <w:szCs w:val="28"/>
        </w:rPr>
        <w:t xml:space="preserve">3. Bản so sánh, thuyết minh </w:t>
      </w:r>
      <w:bookmarkStart w:id="0" w:name="_GoBack"/>
      <w:bookmarkEnd w:id="0"/>
      <w:r>
        <w:rPr>
          <w:rFonts w:ascii="Times New Roman" w:hAnsi="Times New Roman" w:eastAsia="Times New Roman"/>
          <w:b w:val="0"/>
          <w:i w:val="0"/>
          <w:sz w:val="28"/>
          <w:szCs w:val="28"/>
        </w:rPr>
        <w:t>nội dung dự thảo theo Mẫu số 12 Phụ lục IV.</w:t>
      </w:r>
    </w:p>
    <w:p w14:paraId="3949A746">
      <w:pPr>
        <w:ind w:left="0" w:leftChars="0" w:firstLine="778" w:firstLineChars="278"/>
        <w:jc w:val="both"/>
        <w:rPr>
          <w:sz w:val="28"/>
          <w:szCs w:val="28"/>
        </w:rPr>
      </w:pPr>
      <w:r>
        <w:rPr>
          <w:rFonts w:ascii="Times New Roman" w:hAnsi="Times New Roman" w:eastAsia="Times New Roman"/>
          <w:b w:val="0"/>
          <w:i w:val="0"/>
          <w:sz w:val="28"/>
          <w:szCs w:val="28"/>
        </w:rPr>
        <w:t>4. Bản đánh giá việc phân cấp, ủy quyền; bản đánh giá thủ tục hành chính.</w:t>
      </w:r>
    </w:p>
    <w:p w14:paraId="4EB7E30C">
      <w:pPr>
        <w:ind w:left="0" w:leftChars="0" w:firstLine="778" w:firstLineChars="278"/>
        <w:jc w:val="both"/>
        <w:rPr>
          <w:sz w:val="28"/>
          <w:szCs w:val="28"/>
        </w:rPr>
      </w:pPr>
      <w:r>
        <w:rPr>
          <w:rFonts w:ascii="Times New Roman" w:hAnsi="Times New Roman" w:eastAsia="Times New Roman"/>
          <w:b w:val="0"/>
          <w:i w:val="0"/>
          <w:sz w:val="28"/>
          <w:szCs w:val="28"/>
        </w:rPr>
        <w:t>5. Các văn bản góp ý của cơ quan, đơn vị và tài liệu pháp lý có liên quan.</w:t>
      </w:r>
    </w:p>
    <w:p w14:paraId="43D48328">
      <w:pPr>
        <w:ind w:left="0" w:leftChars="0" w:firstLine="778" w:firstLineChars="278"/>
        <w:jc w:val="both"/>
        <w:rPr>
          <w:rFonts w:ascii="Times New Roman" w:hAnsi="Times New Roman" w:eastAsia="Times New Roman"/>
          <w:b w:val="0"/>
          <w:i w:val="0"/>
          <w:sz w:val="28"/>
          <w:szCs w:val="28"/>
        </w:rPr>
      </w:pPr>
      <w:r>
        <w:rPr>
          <w:rFonts w:ascii="Times New Roman" w:hAnsi="Times New Roman" w:eastAsia="Times New Roman"/>
          <w:b w:val="0"/>
          <w:i w:val="0"/>
          <w:sz w:val="28"/>
          <w:szCs w:val="28"/>
        </w:rPr>
        <w:t>Sở Nội vụ kính trình Ủy ban nhân dân thành phố xem xét, quyết định./.</w:t>
      </w:r>
    </w:p>
    <w:p w14:paraId="1D8DBF81">
      <w:pPr>
        <w:ind w:left="0" w:leftChars="0" w:firstLine="778" w:firstLineChars="278"/>
        <w:jc w:val="both"/>
        <w:rPr>
          <w:rFonts w:ascii="Times New Roman" w:hAnsi="Times New Roman" w:eastAsia="Times New Roman"/>
          <w:b w:val="0"/>
          <w:i w:val="0"/>
          <w:sz w:val="28"/>
          <w:szCs w:val="28"/>
        </w:rPr>
      </w:pPr>
    </w:p>
    <w:tbl>
      <w:tblPr>
        <w:tblStyle w:val="12"/>
        <w:tblW w:w="0" w:type="auto"/>
        <w:jc w:val="center"/>
        <w:tblLayout w:type="fixed"/>
        <w:tblCellMar>
          <w:top w:w="0" w:type="dxa"/>
          <w:left w:w="108" w:type="dxa"/>
          <w:bottom w:w="0" w:type="dxa"/>
          <w:right w:w="108" w:type="dxa"/>
        </w:tblCellMar>
      </w:tblPr>
      <w:tblGrid>
        <w:gridCol w:w="4151"/>
        <w:gridCol w:w="4920"/>
      </w:tblGrid>
      <w:tr w14:paraId="41F6D5DD">
        <w:tblPrEx>
          <w:tblCellMar>
            <w:top w:w="0" w:type="dxa"/>
            <w:left w:w="108" w:type="dxa"/>
            <w:bottom w:w="0" w:type="dxa"/>
            <w:right w:w="108" w:type="dxa"/>
          </w:tblCellMar>
        </w:tblPrEx>
        <w:trPr>
          <w:jc w:val="center"/>
        </w:trPr>
        <w:tc>
          <w:tcPr>
            <w:tcW w:w="4151" w:type="dxa"/>
            <w:tcMar>
              <w:top w:w="0" w:type="dxa"/>
              <w:left w:w="30" w:type="dxa"/>
              <w:bottom w:w="0" w:type="dxa"/>
              <w:right w:w="30" w:type="dxa"/>
            </w:tcMar>
          </w:tcPr>
          <w:p w14:paraId="6A118055">
            <w:pPr>
              <w:rPr>
                <w:sz w:val="24"/>
                <w:szCs w:val="24"/>
              </w:rPr>
            </w:pPr>
            <w:r>
              <w:rPr>
                <w:rFonts w:ascii="Times New Roman" w:hAnsi="Times New Roman" w:eastAsia="Times New Roman"/>
                <w:b/>
                <w:sz w:val="24"/>
                <w:szCs w:val="24"/>
              </w:rPr>
              <w:t>Nơi nhận:</w:t>
            </w:r>
          </w:p>
          <w:p w14:paraId="4328A7A0">
            <w:pPr>
              <w:spacing w:after="0"/>
              <w:rPr>
                <w:sz w:val="24"/>
                <w:szCs w:val="24"/>
              </w:rPr>
            </w:pPr>
            <w:r>
              <w:rPr>
                <w:rFonts w:ascii="Times New Roman" w:hAnsi="Times New Roman" w:eastAsia="Times New Roman"/>
                <w:sz w:val="24"/>
                <w:szCs w:val="24"/>
              </w:rPr>
              <w:t>- Như trên;</w:t>
            </w:r>
          </w:p>
          <w:p w14:paraId="52E7EFA0">
            <w:pPr>
              <w:spacing w:after="0"/>
              <w:rPr>
                <w:sz w:val="24"/>
                <w:szCs w:val="24"/>
              </w:rPr>
            </w:pPr>
            <w:r>
              <w:rPr>
                <w:rFonts w:ascii="Times New Roman" w:hAnsi="Times New Roman" w:eastAsia="Times New Roman"/>
                <w:sz w:val="24"/>
                <w:szCs w:val="24"/>
              </w:rPr>
              <w:t>- Chủ tịch, các Phó Chủ tịch UBND thành phố;</w:t>
            </w:r>
          </w:p>
          <w:p w14:paraId="62C3FD8A">
            <w:pPr>
              <w:spacing w:after="0"/>
              <w:rPr>
                <w:sz w:val="24"/>
                <w:szCs w:val="24"/>
              </w:rPr>
            </w:pPr>
            <w:r>
              <w:rPr>
                <w:rFonts w:ascii="Times New Roman" w:hAnsi="Times New Roman" w:eastAsia="Times New Roman"/>
                <w:sz w:val="24"/>
                <w:szCs w:val="24"/>
              </w:rPr>
              <w:t>- Sở Tư pháp;</w:t>
            </w:r>
          </w:p>
          <w:p w14:paraId="0BA35E68">
            <w:pPr>
              <w:spacing w:after="0"/>
              <w:rPr>
                <w:sz w:val="24"/>
                <w:szCs w:val="24"/>
              </w:rPr>
            </w:pPr>
            <w:r>
              <w:rPr>
                <w:rFonts w:ascii="Times New Roman" w:hAnsi="Times New Roman" w:eastAsia="Times New Roman"/>
                <w:sz w:val="24"/>
                <w:szCs w:val="24"/>
              </w:rPr>
              <w:t>- Các sở, ngành có liên quan;</w:t>
            </w:r>
          </w:p>
          <w:p w14:paraId="2E8C8589">
            <w:pPr>
              <w:spacing w:after="0"/>
              <w:rPr>
                <w:sz w:val="24"/>
                <w:szCs w:val="24"/>
              </w:rPr>
            </w:pPr>
            <w:r>
              <w:rPr>
                <w:rFonts w:ascii="Times New Roman" w:hAnsi="Times New Roman" w:eastAsia="Times New Roman"/>
                <w:sz w:val="24"/>
                <w:szCs w:val="24"/>
              </w:rPr>
              <w:t>- Ban Quản lý KKT, CN thành phố;</w:t>
            </w:r>
          </w:p>
          <w:p w14:paraId="37B5FBF4">
            <w:pPr>
              <w:spacing w:after="0"/>
              <w:rPr>
                <w:sz w:val="24"/>
                <w:szCs w:val="24"/>
              </w:rPr>
            </w:pPr>
            <w:r>
              <w:rPr>
                <w:rFonts w:ascii="Times New Roman" w:hAnsi="Times New Roman" w:eastAsia="Times New Roman"/>
                <w:sz w:val="24"/>
                <w:szCs w:val="24"/>
              </w:rPr>
              <w:t>- Giám đốc và các Phó Giám đốc Sở;</w:t>
            </w:r>
          </w:p>
          <w:p w14:paraId="03C9FF78">
            <w:pPr>
              <w:spacing w:after="0"/>
            </w:pPr>
            <w:r>
              <w:rPr>
                <w:rFonts w:ascii="Times New Roman" w:hAnsi="Times New Roman" w:eastAsia="Times New Roman"/>
                <w:sz w:val="24"/>
                <w:szCs w:val="24"/>
              </w:rPr>
              <w:t>- Lưu: VT, TCCC.</w:t>
            </w:r>
          </w:p>
        </w:tc>
        <w:tc>
          <w:tcPr>
            <w:tcW w:w="4920" w:type="dxa"/>
            <w:tcMar>
              <w:top w:w="0" w:type="dxa"/>
              <w:left w:w="30" w:type="dxa"/>
              <w:bottom w:w="0" w:type="dxa"/>
              <w:right w:w="30" w:type="dxa"/>
            </w:tcMar>
          </w:tcPr>
          <w:p w14:paraId="623461F4">
            <w:pPr>
              <w:jc w:val="center"/>
            </w:pPr>
            <w:r>
              <w:rPr>
                <w:rFonts w:ascii="Times New Roman" w:hAnsi="Times New Roman" w:eastAsia="Times New Roman"/>
                <w:b/>
                <w:sz w:val="26"/>
              </w:rPr>
              <w:t>GIÁM ĐỐC</w:t>
            </w:r>
          </w:p>
          <w:p w14:paraId="2E78DF2D"/>
          <w:p w14:paraId="4A75E92F"/>
          <w:p w14:paraId="195D40DB"/>
          <w:p w14:paraId="77DE81A1"/>
          <w:p w14:paraId="509AB58C"/>
          <w:p w14:paraId="41DDCA84">
            <w:pPr>
              <w:jc w:val="center"/>
            </w:pPr>
          </w:p>
        </w:tc>
      </w:tr>
    </w:tbl>
    <w:p w14:paraId="2CABD4B0"/>
    <w:sectPr>
      <w:footerReference r:id="rId5" w:type="default"/>
      <w:pgSz w:w="12240" w:h="15840"/>
      <w:pgMar w:top="1134" w:right="1134" w:bottom="926" w:left="1247"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Symbol">
    <w:panose1 w:val="05050102010706020507"/>
    <w:charset w:val="02"/>
    <w:family w:val="auto"/>
    <w:pitch w:val="default"/>
    <w:sig w:usb0="00000000" w:usb1="00000000" w:usb2="00000000" w:usb3="00000000" w:csb0="80000000" w:csb1="00000000"/>
  </w:font>
  <w:font w:name="Courier">
    <w:altName w:val="Courier New"/>
    <w:panose1 w:val="02000500000000000000"/>
    <w:charset w:val="00"/>
    <w:family w:val="auto"/>
    <w:pitch w:val="default"/>
    <w:sig w:usb0="00000000" w:usb1="00000000" w:usb2="00000000" w:usb3="00000000" w:csb0="00000001" w:csb1="00000000"/>
  </w:font>
  <w:font w:name="ＭＳ 明朝">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7032">
    <w:pPr>
      <w:pStyle w:val="18"/>
      <w:jc w:val="center"/>
    </w:pPr>
    <w:r>
      <w:fldChar w:fldCharType="begin"/>
    </w:r>
    <w:r>
      <w:instrText xml:space="preserve">PAGE</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1"/>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0"/>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5"/>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3"/>
      <w:lvlText w:val=""/>
      <w:lvlJc w:val="left"/>
      <w:pPr>
        <w:tabs>
          <w:tab w:val="left" w:pos="360"/>
        </w:tabs>
        <w:ind w:left="360" w:hanging="360"/>
      </w:pPr>
      <w:rPr>
        <w:rFonts w:hint="default" w:ascii="Symbol" w:hAnsi="Symbol"/>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180572A1"/>
    <w:rsid w:val="1E754405"/>
    <w:rsid w:val="4043214A"/>
    <w:rsid w:val="7658183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0" w:line="276" w:lineRule="auto"/>
    </w:pPr>
    <w:rPr>
      <w:rFonts w:ascii="Times New Roman" w:hAnsi="Times New Roman" w:eastAsia="Times New Roman" w:cstheme="minorBidi"/>
      <w:sz w:val="26"/>
      <w:szCs w:val="22"/>
      <w:lang w:val="en-US" w:eastAsia="en-US" w:bidi="ar-SA"/>
    </w:rPr>
  </w:style>
  <w:style w:type="paragraph" w:styleId="2">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6"/>
      <w:szCs w:val="28"/>
    </w:rPr>
  </w:style>
  <w:style w:type="paragraph" w:styleId="3">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145"/>
    <w:unhideWhenUsed/>
    <w:qFormat/>
    <w:uiPriority w:val="99"/>
    <w:pPr>
      <w:spacing w:after="120"/>
    </w:pPr>
  </w:style>
  <w:style w:type="paragraph" w:styleId="14">
    <w:name w:val="Body Text 2"/>
    <w:basedOn w:val="1"/>
    <w:link w:val="146"/>
    <w:unhideWhenUsed/>
    <w:qFormat/>
    <w:uiPriority w:val="99"/>
    <w:pPr>
      <w:spacing w:after="120" w:line="480" w:lineRule="auto"/>
    </w:pPr>
  </w:style>
  <w:style w:type="paragraph" w:styleId="15">
    <w:name w:val="Body Text 3"/>
    <w:basedOn w:val="1"/>
    <w:link w:val="147"/>
    <w:unhideWhenUsed/>
    <w:qFormat/>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7"/>
    <w:unhideWhenUsed/>
    <w:qFormat/>
    <w:uiPriority w:val="99"/>
    <w:pPr>
      <w:tabs>
        <w:tab w:val="center" w:pos="4680"/>
        <w:tab w:val="right" w:pos="9360"/>
      </w:tabs>
      <w:spacing w:after="0" w:line="240" w:lineRule="auto"/>
    </w:pPr>
  </w:style>
  <w:style w:type="paragraph" w:styleId="19">
    <w:name w:val="header"/>
    <w:basedOn w:val="1"/>
    <w:link w:val="136"/>
    <w:unhideWhenUsed/>
    <w:qFormat/>
    <w:uiPriority w:val="99"/>
    <w:pPr>
      <w:tabs>
        <w:tab w:val="center" w:pos="4680"/>
        <w:tab w:val="right" w:pos="9360"/>
      </w:tabs>
      <w:spacing w:after="0" w:line="240" w:lineRule="auto"/>
    </w:pPr>
  </w:style>
  <w:style w:type="paragraph" w:styleId="20">
    <w:name w:val="List"/>
    <w:basedOn w:val="1"/>
    <w:unhideWhenUsed/>
    <w:qFormat/>
    <w:uiPriority w:val="99"/>
    <w:pPr>
      <w:ind w:left="360" w:hanging="360"/>
      <w:contextualSpacing/>
    </w:pPr>
  </w:style>
  <w:style w:type="paragraph" w:styleId="21">
    <w:name w:val="List 2"/>
    <w:basedOn w:val="1"/>
    <w:unhideWhenUsed/>
    <w:qFormat/>
    <w:uiPriority w:val="99"/>
    <w:pPr>
      <w:ind w:left="720" w:hanging="360"/>
      <w:contextualSpacing/>
    </w:pPr>
  </w:style>
  <w:style w:type="paragraph" w:styleId="22">
    <w:name w:val="List 3"/>
    <w:basedOn w:val="1"/>
    <w:unhideWhenUsed/>
    <w:qFormat/>
    <w:uiPriority w:val="99"/>
    <w:pPr>
      <w:ind w:left="1080" w:hanging="360"/>
      <w:contextualSpacing/>
    </w:pPr>
  </w:style>
  <w:style w:type="paragraph" w:styleId="23">
    <w:name w:val="List Bullet"/>
    <w:basedOn w:val="1"/>
    <w:unhideWhenUsed/>
    <w:qFormat/>
    <w:uiPriority w:val="99"/>
    <w:pPr>
      <w:numPr>
        <w:ilvl w:val="0"/>
        <w:numId w:val="1"/>
      </w:numPr>
      <w:contextualSpacing/>
    </w:pPr>
  </w:style>
  <w:style w:type="paragraph" w:styleId="24">
    <w:name w:val="List Bullet 2"/>
    <w:basedOn w:val="1"/>
    <w:unhideWhenUsed/>
    <w:qFormat/>
    <w:uiPriority w:val="99"/>
    <w:pPr>
      <w:numPr>
        <w:ilvl w:val="0"/>
        <w:numId w:val="2"/>
      </w:numPr>
      <w:contextualSpacing/>
    </w:pPr>
  </w:style>
  <w:style w:type="paragraph" w:styleId="25">
    <w:name w:val="List Bullet 3"/>
    <w:basedOn w:val="1"/>
    <w:unhideWhenUsed/>
    <w:qFormat/>
    <w:uiPriority w:val="99"/>
    <w:pPr>
      <w:numPr>
        <w:ilvl w:val="0"/>
        <w:numId w:val="3"/>
      </w:numPr>
      <w:contextualSpacing/>
    </w:pPr>
  </w:style>
  <w:style w:type="paragraph" w:styleId="26">
    <w:name w:val="List Continue"/>
    <w:basedOn w:val="1"/>
    <w:unhideWhenUsed/>
    <w:qFormat/>
    <w:uiPriority w:val="99"/>
    <w:pPr>
      <w:spacing w:after="120"/>
      <w:ind w:left="360"/>
      <w:contextualSpacing/>
    </w:pPr>
  </w:style>
  <w:style w:type="paragraph" w:styleId="27">
    <w:name w:val="List Continue 2"/>
    <w:basedOn w:val="1"/>
    <w:unhideWhenUsed/>
    <w:qFormat/>
    <w:uiPriority w:val="99"/>
    <w:pPr>
      <w:spacing w:after="120"/>
      <w:ind w:left="720"/>
      <w:contextualSpacing/>
    </w:pPr>
  </w:style>
  <w:style w:type="paragraph" w:styleId="28">
    <w:name w:val="List Continue 3"/>
    <w:basedOn w:val="1"/>
    <w:unhideWhenUsed/>
    <w:qFormat/>
    <w:uiPriority w:val="99"/>
    <w:pPr>
      <w:spacing w:after="120"/>
      <w:ind w:left="1080"/>
      <w:contextualSpacing/>
    </w:pPr>
  </w:style>
  <w:style w:type="paragraph" w:styleId="29">
    <w:name w:val="List Number"/>
    <w:basedOn w:val="1"/>
    <w:unhideWhenUsed/>
    <w:qFormat/>
    <w:uiPriority w:val="99"/>
    <w:pPr>
      <w:numPr>
        <w:ilvl w:val="0"/>
        <w:numId w:val="4"/>
      </w:numPr>
      <w:contextualSpacing/>
    </w:pPr>
  </w:style>
  <w:style w:type="paragraph" w:styleId="30">
    <w:name w:val="List Number 2"/>
    <w:basedOn w:val="1"/>
    <w:unhideWhenUsed/>
    <w:qFormat/>
    <w:uiPriority w:val="99"/>
    <w:pPr>
      <w:numPr>
        <w:ilvl w:val="0"/>
        <w:numId w:val="5"/>
      </w:numPr>
      <w:contextualSpacing/>
    </w:pPr>
  </w:style>
  <w:style w:type="paragraph" w:styleId="31">
    <w:name w:val="List Number 3"/>
    <w:basedOn w:val="1"/>
    <w:unhideWhenUsed/>
    <w:qFormat/>
    <w:uiPriority w:val="99"/>
    <w:pPr>
      <w:numPr>
        <w:ilvl w:val="0"/>
        <w:numId w:val="6"/>
      </w:numPr>
      <w:contextualSpacing/>
    </w:pPr>
  </w:style>
  <w:style w:type="paragraph" w:styleId="3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33">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34">
    <w:name w:val="Strong"/>
    <w:basedOn w:val="11"/>
    <w:qFormat/>
    <w:uiPriority w:val="22"/>
    <w:rPr>
      <w:b/>
      <w:bCs/>
    </w:rPr>
  </w:style>
  <w:style w:type="paragraph" w:styleId="35">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6">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7">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8">
    <w:name w:val="Light Shading"/>
    <w:basedOn w:val="1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9">
    <w:name w:val="Light Shading Accent 1"/>
    <w:basedOn w:val="1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0">
    <w:name w:val="Light Shading Accent 2"/>
    <w:basedOn w:val="1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1">
    <w:name w:val="Light Shading Accent 3"/>
    <w:basedOn w:val="1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2">
    <w:name w:val="Light Shading Accent 4"/>
    <w:basedOn w:val="1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3">
    <w:name w:val="Light Shading Accent 5"/>
    <w:basedOn w:val="1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4">
    <w:name w:val="Light Shading Accent 6"/>
    <w:basedOn w:val="1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5">
    <w:name w:val="Light List"/>
    <w:basedOn w:val="1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6">
    <w:name w:val="Light List Accent 1"/>
    <w:basedOn w:val="1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7">
    <w:name w:val="Light List Accent 2"/>
    <w:basedOn w:val="1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8">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9">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0">
    <w:name w:val="Light List Accent 5"/>
    <w:basedOn w:val="1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1">
    <w:name w:val="Light List Accent 6"/>
    <w:basedOn w:val="1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2">
    <w:name w:val="Light Grid"/>
    <w:basedOn w:val="1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3">
    <w:name w:val="Light Grid Accent 1"/>
    <w:basedOn w:val="1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4">
    <w:name w:val="Light Grid Accent 2"/>
    <w:basedOn w:val="1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5">
    <w:name w:val="Light Grid Accent 3"/>
    <w:basedOn w:val="1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6">
    <w:name w:val="Light Grid Accent 4"/>
    <w:basedOn w:val="1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7">
    <w:name w:val="Light Grid Accent 5"/>
    <w:basedOn w:val="1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8">
    <w:name w:val="Light Grid Accent 6"/>
    <w:basedOn w:val="1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9">
    <w:name w:val="Medium Shading 1"/>
    <w:basedOn w:val="1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0">
    <w:name w:val="Medium Shading 1 Accent 1"/>
    <w:basedOn w:val="1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1">
    <w:name w:val="Medium Shading 1 Accent 2"/>
    <w:basedOn w:val="1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2">
    <w:name w:val="Medium Shading 1 Accent 3"/>
    <w:basedOn w:val="1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3">
    <w:name w:val="Medium Shading 1 Accent 4"/>
    <w:basedOn w:val="1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4">
    <w:name w:val="Medium Shading 1 Accent 5"/>
    <w:basedOn w:val="1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5">
    <w:name w:val="Medium Shading 1 Accent 6"/>
    <w:basedOn w:val="1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6">
    <w:name w:val="Medium Shading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1"/>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3"/>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4"/>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5"/>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Shading 2 Accent 6"/>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3">
    <w:name w:val="Medium List 1"/>
    <w:basedOn w:val="1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4">
    <w:name w:val="Medium List 1 Accent 1"/>
    <w:basedOn w:val="1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5">
    <w:name w:val="Medium List 1 Accent 2"/>
    <w:basedOn w:val="1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6">
    <w:name w:val="Medium List 1 Accent 3"/>
    <w:basedOn w:val="1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7">
    <w:name w:val="Medium List 1 Accent 4"/>
    <w:basedOn w:val="1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8">
    <w:name w:val="Medium List 1 Accent 5"/>
    <w:basedOn w:val="1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9">
    <w:name w:val="Medium List 1 Accent 6"/>
    <w:basedOn w:val="1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0">
    <w:name w:val="Medium Lis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1"/>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3"/>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4"/>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5"/>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6"/>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w:basedOn w:val="1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8">
    <w:name w:val="Medium Grid 1 Accent 1"/>
    <w:basedOn w:val="1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9">
    <w:name w:val="Medium Grid 1 Accent 2"/>
    <w:basedOn w:val="1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0">
    <w:name w:val="Medium Grid 1 Accent 3"/>
    <w:basedOn w:val="1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1">
    <w:name w:val="Medium Grid 1 Accent 4"/>
    <w:basedOn w:val="1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2">
    <w:name w:val="Medium Grid 1 Accent 5"/>
    <w:basedOn w:val="1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3">
    <w:name w:val="Medium Grid 1 Accent 6"/>
    <w:basedOn w:val="1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4">
    <w:name w:val="Medium Grid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5">
    <w:name w:val="Medium Grid 2 Accent 1"/>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6">
    <w:name w:val="Medium Grid 2 Accent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7">
    <w:name w:val="Medium Grid 2 Accent 3"/>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8">
    <w:name w:val="Medium Grid 2 Accent 4"/>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9">
    <w:name w:val="Medium Grid 2 Accent 5"/>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0">
    <w:name w:val="Medium Grid 2 Accent 6"/>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1">
    <w:name w:val="Medium Grid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2">
    <w:name w:val="Medium Grid 3 Accent 1"/>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3">
    <w:name w:val="Medium Grid 3 Accent 2"/>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4">
    <w:name w:val="Medium Grid 3 Accent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5">
    <w:name w:val="Medium Grid 3 Accent 4"/>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6">
    <w:name w:val="Medium Grid 3 Accent 5"/>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7">
    <w:name w:val="Medium Grid 3 Accent 6"/>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8">
    <w:name w:val="Dark List"/>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9">
    <w:name w:val="Dark List Accent 1"/>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0">
    <w:name w:val="Dark List Accent 2"/>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1">
    <w:name w:val="Dark List Accent 3"/>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2">
    <w:name w:val="Dark List Accent 4"/>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3">
    <w:name w:val="Dark List Accent 5"/>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4">
    <w:name w:val="Dark List Accent 6"/>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5">
    <w:name w:val="Colorful Shading"/>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1"/>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2"/>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3"/>
    <w:basedOn w:val="1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9">
    <w:name w:val="Colorful Shading Accent 4"/>
    <w:basedOn w:val="1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5"/>
    <w:basedOn w:val="1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Shading Accent 6"/>
    <w:basedOn w:val="1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2">
    <w:name w:val="Colorful List"/>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3">
    <w:name w:val="Colorful List Accent 1"/>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4">
    <w:name w:val="Colorful List Accent 2"/>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5">
    <w:name w:val="Colorful List Accent 3"/>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6">
    <w:name w:val="Colorful List Accent 4"/>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7">
    <w:name w:val="Colorful List Accent 5"/>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8">
    <w:name w:val="Colorful List Accent 6"/>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9">
    <w:name w:val="Colorful Grid"/>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0">
    <w:name w:val="Colorful Grid Accent 1"/>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1">
    <w:name w:val="Colorful Grid Accent 2"/>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Colorful Grid Accent 3"/>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3">
    <w:name w:val="Colorful Grid Accent 4"/>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4">
    <w:name w:val="Colorful Grid Accent 5"/>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5">
    <w:name w:val="Colorful Grid Accent 6"/>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6">
    <w:name w:val="Header Char"/>
    <w:basedOn w:val="11"/>
    <w:link w:val="19"/>
    <w:qFormat/>
    <w:uiPriority w:val="99"/>
  </w:style>
  <w:style w:type="character" w:customStyle="1" w:styleId="137">
    <w:name w:val="Footer Char"/>
    <w:basedOn w:val="11"/>
    <w:link w:val="18"/>
    <w:qFormat/>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1"/>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1"/>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1"/>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1"/>
    <w:link w:val="37"/>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1"/>
    <w:link w:val="35"/>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1"/>
    <w:link w:val="13"/>
    <w:qFormat/>
    <w:uiPriority w:val="99"/>
  </w:style>
  <w:style w:type="character" w:customStyle="1" w:styleId="146">
    <w:name w:val="Body Text 2 Char"/>
    <w:basedOn w:val="11"/>
    <w:link w:val="14"/>
    <w:qFormat/>
    <w:uiPriority w:val="99"/>
  </w:style>
  <w:style w:type="character" w:customStyle="1" w:styleId="147">
    <w:name w:val="Body Text 3 Char"/>
    <w:basedOn w:val="11"/>
    <w:link w:val="15"/>
    <w:qFormat/>
    <w:uiPriority w:val="99"/>
    <w:rPr>
      <w:sz w:val="16"/>
      <w:szCs w:val="16"/>
    </w:rPr>
  </w:style>
  <w:style w:type="character" w:customStyle="1" w:styleId="148">
    <w:name w:val="Macro Text Char"/>
    <w:basedOn w:val="11"/>
    <w:link w:val="32"/>
    <w:qFormat/>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1"/>
    <w:link w:val="149"/>
    <w:qFormat/>
    <w:uiPriority w:val="29"/>
    <w:rPr>
      <w:i/>
      <w:iCs/>
      <w:color w:val="000000" w:themeColor="text1"/>
      <w14:textFill>
        <w14:solidFill>
          <w14:schemeClr w14:val="tx1"/>
        </w14:solidFill>
      </w14:textFill>
    </w:rPr>
  </w:style>
  <w:style w:type="character" w:customStyle="1" w:styleId="151">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1"/>
    <w:link w:val="6"/>
    <w:semiHidden/>
    <w:qFormat/>
    <w:uiPriority w:val="9"/>
    <w:rPr>
      <w:rFonts w:asciiTheme="majorHAnsi" w:hAnsiTheme="majorHAnsi" w:eastAsiaTheme="majorEastAsia" w:cstheme="majorBidi"/>
      <w:color w:val="254061" w:themeColor="accent1" w:themeShade="80"/>
    </w:rPr>
  </w:style>
  <w:style w:type="character" w:customStyle="1" w:styleId="153">
    <w:name w:val="Heading 6 Char"/>
    <w:basedOn w:val="11"/>
    <w:link w:val="7"/>
    <w:semiHidden/>
    <w:qFormat/>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1"/>
    <w:link w:val="157"/>
    <w:qFormat/>
    <w:uiPriority w:val="30"/>
    <w:rPr>
      <w:b/>
      <w:bCs/>
      <w:i/>
      <w:iCs/>
      <w:color w:val="4F81BD" w:themeColor="accent1"/>
      <w14:textFill>
        <w14:solidFill>
          <w14:schemeClr w14:val="accent1"/>
        </w14:solidFill>
      </w14:textFill>
    </w:rPr>
  </w:style>
  <w:style w:type="character" w:customStyle="1" w:styleId="159">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1"/>
    <w:qFormat/>
    <w:uiPriority w:val="21"/>
    <w:rPr>
      <w:b/>
      <w:bCs/>
      <w:i/>
      <w:iCs/>
      <w:color w:val="4F81BD" w:themeColor="accent1"/>
      <w14:textFill>
        <w14:solidFill>
          <w14:schemeClr w14:val="accent1"/>
        </w14:solidFill>
      </w14:textFill>
    </w:rPr>
  </w:style>
  <w:style w:type="character" w:customStyle="1" w:styleId="161">
    <w:name w:val="Subtle Reference"/>
    <w:basedOn w:val="11"/>
    <w:qFormat/>
    <w:uiPriority w:val="31"/>
    <w:rPr>
      <w:smallCaps/>
      <w:color w:val="C0504D" w:themeColor="accent2"/>
      <w:u w:val="single"/>
      <w14:textFill>
        <w14:solidFill>
          <w14:schemeClr w14:val="accent2"/>
        </w14:solidFill>
      </w14:textFill>
    </w:rPr>
  </w:style>
  <w:style w:type="character" w:customStyle="1" w:styleId="162">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1"/>
    <w:qFormat/>
    <w:uiPriority w:val="33"/>
    <w:rPr>
      <w:b/>
      <w:bCs/>
      <w:smallCaps/>
      <w:spacing w:val="5"/>
    </w:rPr>
  </w:style>
  <w:style w:type="paragraph" w:customStyle="1" w:styleId="164">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2282</Words>
  <Characters>8105</Characters>
  <Lines>0</Lines>
  <Paragraphs>0</Paragraphs>
  <TotalTime>7</TotalTime>
  <ScaleCrop>false</ScaleCrop>
  <LinksUpToDate>false</LinksUpToDate>
  <CharactersWithSpaces>10355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Ho Huyhinh</cp:lastModifiedBy>
  <dcterms:modified xsi:type="dcterms:W3CDTF">2026-07-15T02:54:25Z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23C987FA85C949678901B06ABEF60C3B_13</vt:lpwstr>
  </property>
  <property fmtid="{D5CDD505-2E9C-101B-9397-08002B2CF9AE}" pid="4" name="KSOTemplateDocerSaveRecord">
    <vt:lpwstr>eyJoZGlkIjoiNzZmMTBkYjc5YmUwMDI4Yzk5ZTAyMzBmMWQ4OTliN2UiLCJ1c2VySWQiOiI4ODEzNDg1NzcyMzg3In0=</vt:lpwstr>
  </property>
</Properties>
</file>