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jc w:val="center"/>
        <w:tblLayout w:type="fixed"/>
        <w:tblCellMar>
          <w:top w:w="0" w:type="dxa"/>
          <w:left w:w="108" w:type="dxa"/>
          <w:bottom w:w="0" w:type="dxa"/>
          <w:right w:w="108" w:type="dxa"/>
        </w:tblCellMar>
      </w:tblPr>
      <w:tblGrid>
        <w:gridCol w:w="6942"/>
        <w:gridCol w:w="6780"/>
      </w:tblGrid>
      <w:tr w14:paraId="2C2E960D">
        <w:tblPrEx>
          <w:tblCellMar>
            <w:top w:w="0" w:type="dxa"/>
            <w:left w:w="108" w:type="dxa"/>
            <w:bottom w:w="0" w:type="dxa"/>
            <w:right w:w="108" w:type="dxa"/>
          </w:tblCellMar>
        </w:tblPrEx>
        <w:trPr>
          <w:jc w:val="center"/>
        </w:trPr>
        <w:tc>
          <w:tcPr>
            <w:tcW w:w="6942" w:type="dxa"/>
            <w:vAlign w:val="center"/>
          </w:tcPr>
          <w:p w14:paraId="6E752830">
            <w:pPr>
              <w:jc w:val="center"/>
            </w:pPr>
            <w:r>
              <w:rPr>
                <w:rFonts w:ascii="Times New Roman" w:hAnsi="Times New Roman" w:eastAsia="Times New Roman"/>
                <w:b/>
                <w:sz w:val="24"/>
              </w:rPr>
              <w:t>BAN QUẢN LÝ KHU KINH TẾ,</w:t>
            </w:r>
            <w:r>
              <w:rPr>
                <w:rFonts w:ascii="Times New Roman" w:hAnsi="Times New Roman" w:eastAsia="Times New Roman"/>
                <w:b/>
                <w:sz w:val="24"/>
              </w:rPr>
              <w:br w:type="textWrapping"/>
            </w:r>
            <w:r>
              <w:rPr>
                <w:rFonts w:ascii="Times New Roman" w:hAnsi="Times New Roman" w:eastAsia="Times New Roman"/>
                <w:b/>
                <w:sz w:val="24"/>
              </w:rPr>
              <w:t xml:space="preserve">CÔNG NGHIỆP  </w:t>
            </w:r>
          </w:p>
        </w:tc>
        <w:tc>
          <w:tcPr>
            <w:tcW w:w="6780" w:type="dxa"/>
            <w:vAlign w:val="center"/>
          </w:tcPr>
          <w:p w14:paraId="3146F025">
            <w:pPr>
              <w:jc w:val="center"/>
            </w:pPr>
            <w:r>
              <w:rPr>
                <w:rFonts w:ascii="Times New Roman" w:hAnsi="Times New Roman" w:eastAsia="Times New Roman"/>
                <w:b/>
                <w:sz w:val="24"/>
              </w:rPr>
              <w:t>CỘNG HÒA XÃ HỘI CHỦ NGHĨA VIỆT NAM</w:t>
            </w:r>
            <w:r>
              <w:rPr>
                <w:rFonts w:ascii="Times New Roman" w:hAnsi="Times New Roman" w:eastAsia="Times New Roman"/>
                <w:b/>
                <w:sz w:val="24"/>
              </w:rPr>
              <w:br w:type="textWrapping"/>
            </w:r>
            <w:r>
              <w:rPr>
                <w:rFonts w:ascii="Times New Roman" w:hAnsi="Times New Roman" w:eastAsia="Times New Roman"/>
                <w:b/>
                <w:sz w:val="24"/>
              </w:rPr>
              <w:t>Độc lập - Tự do - Hạnh phúc</w:t>
            </w:r>
          </w:p>
        </w:tc>
      </w:tr>
    </w:tbl>
    <w:p w14:paraId="3BC4854F">
      <w:pPr>
        <w:jc w:val="both"/>
      </w:pPr>
    </w:p>
    <w:p w14:paraId="285661DA">
      <w:pPr>
        <w:jc w:val="center"/>
      </w:pPr>
      <w:r>
        <w:rPr>
          <w:rFonts w:ascii="Times New Roman" w:hAnsi="Times New Roman" w:eastAsia="Times New Roman"/>
          <w:b/>
          <w:i w:val="0"/>
          <w:sz w:val="30"/>
        </w:rPr>
        <w:t>BẢN SO SÁNH, THUYẾT MINH NỘI DUNG DỰ THẢO</w:t>
      </w:r>
    </w:p>
    <w:p w14:paraId="6669C8CB">
      <w:pPr>
        <w:jc w:val="center"/>
      </w:pPr>
      <w:r>
        <w:rPr>
          <w:rFonts w:ascii="Times New Roman" w:hAnsi="Times New Roman" w:eastAsia="Times New Roman"/>
          <w:b/>
          <w:i w:val="0"/>
          <w:sz w:val="26"/>
        </w:rPr>
        <w:t>(Mẫu số 12 Phụ lục IV kèm theo Nghị định số 187/2025/NĐ-CP)</w:t>
      </w:r>
    </w:p>
    <w:p w14:paraId="09474771">
      <w:pPr>
        <w:jc w:val="both"/>
      </w:pPr>
      <w:r>
        <w:rPr>
          <w:rFonts w:ascii="Times New Roman" w:hAnsi="Times New Roman" w:eastAsia="Times New Roman"/>
          <w:b w:val="0"/>
          <w:i w:val="0"/>
          <w:sz w:val="26"/>
        </w:rPr>
        <w:t>Tên văn bản: Các Quyết định của UBND thành phố, Chủ tịch UBND thành phố về phân cấp, ủy quyền cho Ban Quản lý Khu kinh tế, công nghiệp thành phố Huế.</w:t>
      </w:r>
    </w:p>
    <w:tbl>
      <w:tblPr>
        <w:tblStyle w:val="35"/>
        <w:tblW w:w="15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945"/>
        <w:gridCol w:w="5133"/>
        <w:gridCol w:w="4288"/>
      </w:tblGrid>
      <w:tr w14:paraId="53E4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shd w:val="clear" w:color="auto" w:fill="D9EAF7"/>
            <w:vAlign w:val="center"/>
          </w:tcPr>
          <w:p w14:paraId="74A6DD40">
            <w:pPr>
              <w:jc w:val="center"/>
              <w:rPr>
                <w:sz w:val="28"/>
                <w:szCs w:val="28"/>
              </w:rPr>
            </w:pPr>
            <w:r>
              <w:rPr>
                <w:rFonts w:ascii="Times New Roman" w:hAnsi="Times New Roman" w:eastAsia="Times New Roman"/>
                <w:b/>
                <w:sz w:val="28"/>
                <w:szCs w:val="28"/>
              </w:rPr>
              <w:t>STT</w:t>
            </w:r>
          </w:p>
        </w:tc>
        <w:tc>
          <w:tcPr>
            <w:tcW w:w="4945" w:type="dxa"/>
            <w:shd w:val="clear" w:color="auto" w:fill="D9EAF7"/>
            <w:vAlign w:val="center"/>
          </w:tcPr>
          <w:p w14:paraId="181D332F">
            <w:pPr>
              <w:jc w:val="center"/>
              <w:rPr>
                <w:sz w:val="28"/>
                <w:szCs w:val="28"/>
              </w:rPr>
            </w:pPr>
            <w:r>
              <w:rPr>
                <w:rFonts w:ascii="Times New Roman" w:hAnsi="Times New Roman" w:eastAsia="Times New Roman"/>
                <w:b/>
                <w:sz w:val="28"/>
                <w:szCs w:val="28"/>
              </w:rPr>
              <w:t>Nội dung dự thảo</w:t>
            </w:r>
          </w:p>
        </w:tc>
        <w:tc>
          <w:tcPr>
            <w:tcW w:w="5133" w:type="dxa"/>
            <w:shd w:val="clear" w:color="auto" w:fill="D9EAF7"/>
            <w:vAlign w:val="center"/>
          </w:tcPr>
          <w:p w14:paraId="1A718DB8">
            <w:pPr>
              <w:jc w:val="center"/>
              <w:rPr>
                <w:sz w:val="28"/>
                <w:szCs w:val="28"/>
              </w:rPr>
            </w:pPr>
            <w:r>
              <w:rPr>
                <w:rFonts w:ascii="Times New Roman" w:hAnsi="Times New Roman" w:eastAsia="Times New Roman"/>
                <w:b/>
                <w:sz w:val="28"/>
                <w:szCs w:val="28"/>
              </w:rPr>
              <w:t>Quy định hiện hành/nội dung liên quan</w:t>
            </w:r>
          </w:p>
        </w:tc>
        <w:tc>
          <w:tcPr>
            <w:tcW w:w="4288" w:type="dxa"/>
            <w:shd w:val="clear" w:color="auto" w:fill="D9EAF7"/>
            <w:vAlign w:val="center"/>
          </w:tcPr>
          <w:p w14:paraId="63BCE8CB">
            <w:pPr>
              <w:jc w:val="center"/>
              <w:rPr>
                <w:sz w:val="28"/>
                <w:szCs w:val="28"/>
              </w:rPr>
            </w:pPr>
            <w:r>
              <w:rPr>
                <w:rFonts w:ascii="Times New Roman" w:hAnsi="Times New Roman" w:eastAsia="Times New Roman"/>
                <w:b/>
                <w:sz w:val="28"/>
                <w:szCs w:val="28"/>
              </w:rPr>
              <w:t>Thuyết minh, lý do và phương án xử lý</w:t>
            </w:r>
          </w:p>
        </w:tc>
      </w:tr>
      <w:tr w14:paraId="216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9" w:type="dxa"/>
            <w:gridSpan w:val="4"/>
            <w:shd w:val="clear" w:color="auto" w:fill="B4C6E7"/>
            <w:vAlign w:val="center"/>
          </w:tcPr>
          <w:p w14:paraId="0EB71AFE">
            <w:pPr>
              <w:jc w:val="left"/>
              <w:rPr>
                <w:sz w:val="28"/>
                <w:szCs w:val="28"/>
              </w:rPr>
            </w:pPr>
            <w:r>
              <w:rPr>
                <w:rFonts w:ascii="Times New Roman" w:hAnsi="Times New Roman" w:eastAsia="Times New Roman"/>
                <w:b/>
                <w:sz w:val="28"/>
                <w:szCs w:val="28"/>
              </w:rPr>
              <w:t>DỰ THẢO 1: PHÂN CẤP CỦA UBND THÀNH PHỐ VỀ DỰ ÁN PPP</w:t>
            </w:r>
          </w:p>
        </w:tc>
      </w:tr>
      <w:tr w14:paraId="6444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5A14A910">
            <w:pPr>
              <w:jc w:val="center"/>
              <w:rPr>
                <w:sz w:val="28"/>
                <w:szCs w:val="28"/>
              </w:rPr>
            </w:pPr>
            <w:r>
              <w:rPr>
                <w:rFonts w:ascii="Times New Roman" w:hAnsi="Times New Roman" w:eastAsia="Times New Roman"/>
                <w:b w:val="0"/>
                <w:sz w:val="28"/>
                <w:szCs w:val="28"/>
              </w:rPr>
              <w:t>1</w:t>
            </w:r>
          </w:p>
        </w:tc>
        <w:tc>
          <w:tcPr>
            <w:tcW w:w="4945" w:type="dxa"/>
            <w:vAlign w:val="center"/>
          </w:tcPr>
          <w:p w14:paraId="19E36543">
            <w:pPr>
              <w:jc w:val="both"/>
              <w:rPr>
                <w:sz w:val="28"/>
                <w:szCs w:val="28"/>
              </w:rPr>
            </w:pPr>
            <w:r>
              <w:rPr>
                <w:rFonts w:ascii="Times New Roman" w:hAnsi="Times New Roman" w:eastAsia="Times New Roman"/>
                <w:b w:val="0"/>
                <w:sz w:val="28"/>
                <w:szCs w:val="28"/>
              </w:rPr>
              <w:t>Tên gọi, chủ thể ban hành: UBND thành phố ban hành Quyết định phân cấp cho Ban Quản lý thực hiện nhiệm vụ của cơ quan có thẩm quyền đối với một số dự án PPP.</w:t>
            </w:r>
          </w:p>
        </w:tc>
        <w:tc>
          <w:tcPr>
            <w:tcW w:w="5133" w:type="dxa"/>
            <w:vAlign w:val="center"/>
          </w:tcPr>
          <w:p w14:paraId="0829428F">
            <w:pPr>
              <w:jc w:val="both"/>
              <w:rPr>
                <w:sz w:val="28"/>
                <w:szCs w:val="28"/>
              </w:rPr>
            </w:pPr>
            <w:r>
              <w:rPr>
                <w:rFonts w:ascii="Times New Roman" w:hAnsi="Times New Roman" w:eastAsia="Times New Roman"/>
                <w:b w:val="0"/>
                <w:sz w:val="28"/>
                <w:szCs w:val="28"/>
              </w:rPr>
              <w:t>Luật Tổ chức chính quyền địa phương và pháp luật PPP quy định thẩm quyền, trách nhiệm của UBND cấp tỉnh và cơ quan có thẩm quyền.</w:t>
            </w:r>
          </w:p>
        </w:tc>
        <w:tc>
          <w:tcPr>
            <w:tcW w:w="4288" w:type="dxa"/>
            <w:vAlign w:val="center"/>
          </w:tcPr>
          <w:p w14:paraId="13F7A9AD">
            <w:pPr>
              <w:jc w:val="both"/>
              <w:rPr>
                <w:sz w:val="28"/>
                <w:szCs w:val="28"/>
              </w:rPr>
            </w:pPr>
            <w:r>
              <w:rPr>
                <w:rFonts w:ascii="Times New Roman" w:hAnsi="Times New Roman" w:eastAsia="Times New Roman"/>
                <w:b w:val="0"/>
                <w:sz w:val="28"/>
                <w:szCs w:val="28"/>
              </w:rPr>
              <w:t>Tách riêng với ủy quyền để phản ánh việc giao nhiệm vụ ổn định cho cơ quan trực thuộc; văn bản được xây dựng theo hình thức quyết định quy phạm pháp luật của UBND thành phố.</w:t>
            </w:r>
          </w:p>
        </w:tc>
      </w:tr>
      <w:tr w14:paraId="2187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16AD5AFE">
            <w:pPr>
              <w:jc w:val="center"/>
              <w:rPr>
                <w:sz w:val="28"/>
                <w:szCs w:val="28"/>
              </w:rPr>
            </w:pPr>
            <w:r>
              <w:rPr>
                <w:rFonts w:ascii="Times New Roman" w:hAnsi="Times New Roman" w:eastAsia="Times New Roman"/>
                <w:b w:val="0"/>
                <w:sz w:val="28"/>
                <w:szCs w:val="28"/>
              </w:rPr>
              <w:t>2</w:t>
            </w:r>
          </w:p>
        </w:tc>
        <w:tc>
          <w:tcPr>
            <w:tcW w:w="4945" w:type="dxa"/>
            <w:vAlign w:val="center"/>
          </w:tcPr>
          <w:p w14:paraId="42C5667A">
            <w:pPr>
              <w:jc w:val="both"/>
              <w:rPr>
                <w:sz w:val="28"/>
                <w:szCs w:val="28"/>
              </w:rPr>
            </w:pPr>
            <w:r>
              <w:rPr>
                <w:rFonts w:ascii="Times New Roman" w:hAnsi="Times New Roman" w:eastAsia="Times New Roman"/>
                <w:b w:val="0"/>
                <w:sz w:val="28"/>
                <w:szCs w:val="28"/>
              </w:rPr>
              <w:t>Phạm vi: dự án PPP thuộc phạm vi quản lý của UBND thành phố tại các khu kinh tế, khu công nghiệp do Ban quản lý.</w:t>
            </w:r>
          </w:p>
        </w:tc>
        <w:tc>
          <w:tcPr>
            <w:tcW w:w="5133" w:type="dxa"/>
            <w:vAlign w:val="center"/>
          </w:tcPr>
          <w:p w14:paraId="4F9B8D93">
            <w:pPr>
              <w:jc w:val="both"/>
              <w:rPr>
                <w:sz w:val="28"/>
                <w:szCs w:val="28"/>
              </w:rPr>
            </w:pPr>
            <w:r>
              <w:rPr>
                <w:rFonts w:ascii="Times New Roman" w:hAnsi="Times New Roman" w:eastAsia="Times New Roman"/>
                <w:b w:val="0"/>
                <w:sz w:val="28"/>
                <w:szCs w:val="28"/>
              </w:rPr>
              <w:t>Pháp luật PPP xác định cơ quan có thẩm quyền theo cấp quản lý và từng dự án.</w:t>
            </w:r>
          </w:p>
        </w:tc>
        <w:tc>
          <w:tcPr>
            <w:tcW w:w="4288" w:type="dxa"/>
            <w:vAlign w:val="center"/>
          </w:tcPr>
          <w:p w14:paraId="52755B3E">
            <w:pPr>
              <w:jc w:val="both"/>
              <w:rPr>
                <w:sz w:val="28"/>
                <w:szCs w:val="28"/>
              </w:rPr>
            </w:pPr>
            <w:r>
              <w:rPr>
                <w:rFonts w:ascii="Times New Roman" w:hAnsi="Times New Roman" w:eastAsia="Times New Roman"/>
                <w:b w:val="0"/>
                <w:sz w:val="28"/>
                <w:szCs w:val="28"/>
              </w:rPr>
              <w:t>Khoanh vùng địa bàn và phạm vi quản lý, tránh áp dụng với dự án ngoài Ban hoặc thuộc trung ương.</w:t>
            </w:r>
          </w:p>
        </w:tc>
      </w:tr>
      <w:tr w14:paraId="3839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B363093">
            <w:pPr>
              <w:jc w:val="center"/>
              <w:rPr>
                <w:sz w:val="28"/>
                <w:szCs w:val="28"/>
              </w:rPr>
            </w:pPr>
            <w:r>
              <w:rPr>
                <w:rFonts w:ascii="Times New Roman" w:hAnsi="Times New Roman" w:eastAsia="Times New Roman"/>
                <w:b w:val="0"/>
                <w:sz w:val="28"/>
                <w:szCs w:val="28"/>
              </w:rPr>
              <w:t>3</w:t>
            </w:r>
          </w:p>
        </w:tc>
        <w:tc>
          <w:tcPr>
            <w:tcW w:w="4945" w:type="dxa"/>
            <w:vAlign w:val="center"/>
          </w:tcPr>
          <w:p w14:paraId="71B64472">
            <w:pPr>
              <w:jc w:val="both"/>
              <w:rPr>
                <w:sz w:val="28"/>
                <w:szCs w:val="28"/>
              </w:rPr>
            </w:pPr>
            <w:r>
              <w:rPr>
                <w:rFonts w:ascii="Times New Roman" w:hAnsi="Times New Roman" w:eastAsia="Times New Roman"/>
                <w:b w:val="0"/>
                <w:sz w:val="28"/>
                <w:szCs w:val="28"/>
              </w:rPr>
              <w:t>Phân cấp nhiệm vụ chuẩn bị dự án, lựa chọn nhà đầu tư, đàm phán, ký kết, quản lý và chấm dứt hợp đồng đối với dự án nhóm B, nhóm C.</w:t>
            </w:r>
          </w:p>
        </w:tc>
        <w:tc>
          <w:tcPr>
            <w:tcW w:w="5133" w:type="dxa"/>
            <w:vAlign w:val="center"/>
          </w:tcPr>
          <w:p w14:paraId="4EFD55DD">
            <w:pPr>
              <w:jc w:val="both"/>
              <w:rPr>
                <w:sz w:val="28"/>
                <w:szCs w:val="28"/>
              </w:rPr>
            </w:pPr>
            <w:r>
              <w:rPr>
                <w:rFonts w:ascii="Times New Roman" w:hAnsi="Times New Roman" w:eastAsia="Times New Roman"/>
                <w:b w:val="0"/>
                <w:sz w:val="28"/>
                <w:szCs w:val="28"/>
              </w:rPr>
              <w:t>Pháp luật PPP quy định chuỗi nhiệm vụ của cơ quan có thẩm quyền và cơ quan ký kết hợp đồng.</w:t>
            </w:r>
          </w:p>
        </w:tc>
        <w:tc>
          <w:tcPr>
            <w:tcW w:w="4288" w:type="dxa"/>
            <w:vAlign w:val="center"/>
          </w:tcPr>
          <w:p w14:paraId="7B965481">
            <w:pPr>
              <w:jc w:val="both"/>
              <w:rPr>
                <w:sz w:val="28"/>
                <w:szCs w:val="28"/>
              </w:rPr>
            </w:pPr>
            <w:r>
              <w:rPr>
                <w:rFonts w:ascii="Times New Roman" w:hAnsi="Times New Roman" w:eastAsia="Times New Roman"/>
                <w:b w:val="0"/>
                <w:sz w:val="28"/>
                <w:szCs w:val="28"/>
              </w:rPr>
              <w:t>Quy định theo chuỗi công việc để tránh khoảng trống; cần bảo lưu các quyết định thuộc HĐND, UBND, Chủ tịch hoặc cơ quan khác mà pháp luật chuyên ngành không cho phép chuyển giao.</w:t>
            </w:r>
          </w:p>
        </w:tc>
      </w:tr>
      <w:tr w14:paraId="681E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25A7A335">
            <w:pPr>
              <w:jc w:val="center"/>
              <w:rPr>
                <w:sz w:val="28"/>
                <w:szCs w:val="28"/>
              </w:rPr>
            </w:pPr>
            <w:r>
              <w:rPr>
                <w:rFonts w:ascii="Times New Roman" w:hAnsi="Times New Roman" w:eastAsia="Times New Roman"/>
                <w:b w:val="0"/>
                <w:sz w:val="28"/>
                <w:szCs w:val="28"/>
              </w:rPr>
              <w:t>4</w:t>
            </w:r>
          </w:p>
        </w:tc>
        <w:tc>
          <w:tcPr>
            <w:tcW w:w="4945" w:type="dxa"/>
            <w:vAlign w:val="center"/>
          </w:tcPr>
          <w:p w14:paraId="56CF7681">
            <w:pPr>
              <w:jc w:val="both"/>
              <w:rPr>
                <w:sz w:val="28"/>
                <w:szCs w:val="28"/>
              </w:rPr>
            </w:pPr>
            <w:r>
              <w:rPr>
                <w:rFonts w:ascii="Times New Roman" w:hAnsi="Times New Roman" w:eastAsia="Times New Roman"/>
                <w:b w:val="0"/>
                <w:sz w:val="28"/>
                <w:szCs w:val="28"/>
              </w:rPr>
              <w:t>Các trường hợp loại trừ.</w:t>
            </w:r>
          </w:p>
        </w:tc>
        <w:tc>
          <w:tcPr>
            <w:tcW w:w="5133" w:type="dxa"/>
            <w:vAlign w:val="center"/>
          </w:tcPr>
          <w:p w14:paraId="40CF245B">
            <w:pPr>
              <w:jc w:val="both"/>
              <w:rPr>
                <w:sz w:val="28"/>
                <w:szCs w:val="28"/>
              </w:rPr>
            </w:pPr>
            <w:r>
              <w:rPr>
                <w:rFonts w:ascii="Times New Roman" w:hAnsi="Times New Roman" w:eastAsia="Times New Roman"/>
                <w:b w:val="0"/>
                <w:sz w:val="28"/>
                <w:szCs w:val="28"/>
              </w:rPr>
              <w:t>Các luật về PPP, đầu tư công, ngân sách, đất đai, tài sản công quy định nhiều thẩm quyền riêng.</w:t>
            </w:r>
          </w:p>
        </w:tc>
        <w:tc>
          <w:tcPr>
            <w:tcW w:w="4288" w:type="dxa"/>
            <w:vAlign w:val="center"/>
          </w:tcPr>
          <w:p w14:paraId="3182E9D3">
            <w:pPr>
              <w:jc w:val="both"/>
              <w:rPr>
                <w:sz w:val="28"/>
                <w:szCs w:val="28"/>
              </w:rPr>
            </w:pPr>
            <w:r>
              <w:rPr>
                <w:rFonts w:ascii="Times New Roman" w:hAnsi="Times New Roman" w:eastAsia="Times New Roman"/>
                <w:b w:val="0"/>
                <w:sz w:val="28"/>
                <w:szCs w:val="28"/>
              </w:rPr>
              <w:t>Bổ sung điều khoản loại trừ để ngăn việc hiểu phân cấp bao gồm cả quyết định chủ trương, bố trí vốn, giao đất, sử dụng tài sản công nếu pháp luật yêu cầu cấp khác quyết định.</w:t>
            </w:r>
          </w:p>
        </w:tc>
      </w:tr>
      <w:tr w14:paraId="722B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C1AE545">
            <w:pPr>
              <w:jc w:val="center"/>
              <w:rPr>
                <w:sz w:val="28"/>
                <w:szCs w:val="28"/>
              </w:rPr>
            </w:pPr>
            <w:r>
              <w:rPr>
                <w:rFonts w:ascii="Times New Roman" w:hAnsi="Times New Roman" w:eastAsia="Times New Roman"/>
                <w:b w:val="0"/>
                <w:sz w:val="28"/>
                <w:szCs w:val="28"/>
              </w:rPr>
              <w:t>5</w:t>
            </w:r>
          </w:p>
        </w:tc>
        <w:tc>
          <w:tcPr>
            <w:tcW w:w="4945" w:type="dxa"/>
            <w:vAlign w:val="center"/>
          </w:tcPr>
          <w:p w14:paraId="7E8DA870">
            <w:pPr>
              <w:jc w:val="both"/>
              <w:rPr>
                <w:sz w:val="28"/>
                <w:szCs w:val="28"/>
              </w:rPr>
            </w:pPr>
            <w:r>
              <w:rPr>
                <w:rFonts w:ascii="Times New Roman" w:hAnsi="Times New Roman" w:eastAsia="Times New Roman"/>
                <w:b w:val="0"/>
                <w:sz w:val="28"/>
                <w:szCs w:val="28"/>
              </w:rPr>
              <w:t>Nguyên tắc không phân cấp tiếp, không phát sinh thủ tục.</w:t>
            </w:r>
          </w:p>
        </w:tc>
        <w:tc>
          <w:tcPr>
            <w:tcW w:w="5133" w:type="dxa"/>
            <w:vAlign w:val="center"/>
          </w:tcPr>
          <w:p w14:paraId="5DF7FB71">
            <w:pPr>
              <w:jc w:val="both"/>
              <w:rPr>
                <w:sz w:val="28"/>
                <w:szCs w:val="28"/>
              </w:rPr>
            </w:pPr>
            <w:r>
              <w:rPr>
                <w:rFonts w:ascii="Times New Roman" w:hAnsi="Times New Roman" w:eastAsia="Times New Roman"/>
                <w:b w:val="0"/>
                <w:sz w:val="28"/>
                <w:szCs w:val="28"/>
              </w:rPr>
              <w:t>Nguyên tắc phân cấp phải gắn trách nhiệm và bảo đảm quyền của tổ chức, cá nhân.</w:t>
            </w:r>
          </w:p>
        </w:tc>
        <w:tc>
          <w:tcPr>
            <w:tcW w:w="4288" w:type="dxa"/>
            <w:vAlign w:val="center"/>
          </w:tcPr>
          <w:p w14:paraId="074CED56">
            <w:pPr>
              <w:jc w:val="both"/>
              <w:rPr>
                <w:sz w:val="28"/>
                <w:szCs w:val="28"/>
              </w:rPr>
            </w:pPr>
            <w:r>
              <w:rPr>
                <w:rFonts w:ascii="Times New Roman" w:hAnsi="Times New Roman" w:eastAsia="Times New Roman"/>
                <w:b w:val="0"/>
                <w:sz w:val="28"/>
                <w:szCs w:val="28"/>
              </w:rPr>
              <w:t>Giữ quy định để tăng tính kiểm soát và tương thích cải cách thủ tục hành chính.</w:t>
            </w:r>
          </w:p>
        </w:tc>
      </w:tr>
      <w:tr w14:paraId="3B49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27CB2CDB">
            <w:pPr>
              <w:jc w:val="center"/>
              <w:rPr>
                <w:sz w:val="28"/>
                <w:szCs w:val="28"/>
              </w:rPr>
            </w:pPr>
            <w:r>
              <w:rPr>
                <w:rFonts w:ascii="Times New Roman" w:hAnsi="Times New Roman" w:eastAsia="Times New Roman"/>
                <w:b w:val="0"/>
                <w:sz w:val="28"/>
                <w:szCs w:val="28"/>
              </w:rPr>
              <w:t>6</w:t>
            </w:r>
          </w:p>
        </w:tc>
        <w:tc>
          <w:tcPr>
            <w:tcW w:w="4945" w:type="dxa"/>
            <w:vAlign w:val="center"/>
          </w:tcPr>
          <w:p w14:paraId="4AF1BCEC">
            <w:pPr>
              <w:jc w:val="both"/>
              <w:rPr>
                <w:sz w:val="28"/>
                <w:szCs w:val="28"/>
              </w:rPr>
            </w:pPr>
            <w:r>
              <w:rPr>
                <w:rFonts w:ascii="Times New Roman" w:hAnsi="Times New Roman" w:eastAsia="Times New Roman"/>
                <w:b w:val="0"/>
                <w:sz w:val="28"/>
                <w:szCs w:val="28"/>
              </w:rPr>
              <w:t>Trách nhiệm của Ban và cơ quan phối hợp.</w:t>
            </w:r>
          </w:p>
        </w:tc>
        <w:tc>
          <w:tcPr>
            <w:tcW w:w="5133" w:type="dxa"/>
            <w:vAlign w:val="center"/>
          </w:tcPr>
          <w:p w14:paraId="32BD1B32">
            <w:pPr>
              <w:jc w:val="both"/>
              <w:rPr>
                <w:sz w:val="28"/>
                <w:szCs w:val="28"/>
              </w:rPr>
            </w:pPr>
            <w:r>
              <w:rPr>
                <w:rFonts w:ascii="Times New Roman" w:hAnsi="Times New Roman" w:eastAsia="Times New Roman"/>
                <w:b w:val="0"/>
                <w:sz w:val="28"/>
                <w:szCs w:val="28"/>
              </w:rPr>
              <w:t>Trách nhiệm quản lý nhà nước của cơ quan cấp trên không chấm dứt khi phân cấp.</w:t>
            </w:r>
          </w:p>
        </w:tc>
        <w:tc>
          <w:tcPr>
            <w:tcW w:w="4288" w:type="dxa"/>
            <w:vAlign w:val="center"/>
          </w:tcPr>
          <w:p w14:paraId="2D918F41">
            <w:pPr>
              <w:jc w:val="both"/>
              <w:rPr>
                <w:sz w:val="28"/>
                <w:szCs w:val="28"/>
              </w:rPr>
            </w:pPr>
            <w:r>
              <w:rPr>
                <w:rFonts w:ascii="Times New Roman" w:hAnsi="Times New Roman" w:eastAsia="Times New Roman"/>
                <w:b w:val="0"/>
                <w:sz w:val="28"/>
                <w:szCs w:val="28"/>
              </w:rPr>
              <w:t>Quy định rõ báo cáo, công khai, giải trình, kiểm tra, cung cấp hồ sơ; phân công Sở Tài chính, Sở Xây dựng, Sở Nông nghiệp và Môi trường, Sở Nội vụ.</w:t>
            </w:r>
          </w:p>
        </w:tc>
      </w:tr>
      <w:tr w14:paraId="7C4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DC1A64E">
            <w:pPr>
              <w:jc w:val="center"/>
              <w:rPr>
                <w:sz w:val="28"/>
                <w:szCs w:val="28"/>
              </w:rPr>
            </w:pPr>
            <w:r>
              <w:rPr>
                <w:rFonts w:ascii="Times New Roman" w:hAnsi="Times New Roman" w:eastAsia="Times New Roman"/>
                <w:b w:val="0"/>
                <w:sz w:val="28"/>
                <w:szCs w:val="28"/>
              </w:rPr>
              <w:t>7</w:t>
            </w:r>
          </w:p>
        </w:tc>
        <w:tc>
          <w:tcPr>
            <w:tcW w:w="4945" w:type="dxa"/>
            <w:vAlign w:val="center"/>
          </w:tcPr>
          <w:p w14:paraId="63AE8DC5">
            <w:pPr>
              <w:jc w:val="both"/>
              <w:rPr>
                <w:sz w:val="28"/>
                <w:szCs w:val="28"/>
              </w:rPr>
            </w:pPr>
            <w:r>
              <w:rPr>
                <w:rFonts w:ascii="Times New Roman" w:hAnsi="Times New Roman" w:eastAsia="Times New Roman"/>
                <w:b w:val="0"/>
                <w:sz w:val="28"/>
                <w:szCs w:val="28"/>
              </w:rPr>
              <w:t>Điều khoản chuyển tiếp.</w:t>
            </w:r>
          </w:p>
        </w:tc>
        <w:tc>
          <w:tcPr>
            <w:tcW w:w="5133" w:type="dxa"/>
            <w:vAlign w:val="center"/>
          </w:tcPr>
          <w:p w14:paraId="71DEE10B">
            <w:pPr>
              <w:jc w:val="both"/>
              <w:rPr>
                <w:sz w:val="28"/>
                <w:szCs w:val="28"/>
              </w:rPr>
            </w:pPr>
            <w:r>
              <w:rPr>
                <w:rFonts w:ascii="Times New Roman" w:hAnsi="Times New Roman" w:eastAsia="Times New Roman"/>
                <w:b w:val="0"/>
                <w:sz w:val="28"/>
                <w:szCs w:val="28"/>
              </w:rPr>
              <w:t>Pháp luật yêu cầu bảo đảm tính liên tục của việc giải quyết dự án.</w:t>
            </w:r>
          </w:p>
        </w:tc>
        <w:tc>
          <w:tcPr>
            <w:tcW w:w="4288" w:type="dxa"/>
            <w:vAlign w:val="center"/>
          </w:tcPr>
          <w:p w14:paraId="290B5067">
            <w:pPr>
              <w:jc w:val="both"/>
              <w:rPr>
                <w:sz w:val="28"/>
                <w:szCs w:val="28"/>
              </w:rPr>
            </w:pPr>
            <w:r>
              <w:rPr>
                <w:rFonts w:ascii="Times New Roman" w:hAnsi="Times New Roman" w:eastAsia="Times New Roman"/>
                <w:b w:val="0"/>
                <w:sz w:val="28"/>
                <w:szCs w:val="28"/>
              </w:rPr>
              <w:t>Dự án đã giao cơ quan có thẩm quyền tiếp tục thực hiện; dự án chưa xác định thẩm quyền áp dụng quy định mới.</w:t>
            </w:r>
          </w:p>
        </w:tc>
      </w:tr>
      <w:tr w14:paraId="6AA2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CAA933E">
            <w:pPr>
              <w:jc w:val="center"/>
              <w:rPr>
                <w:sz w:val="28"/>
                <w:szCs w:val="28"/>
              </w:rPr>
            </w:pPr>
            <w:r>
              <w:rPr>
                <w:rFonts w:ascii="Times New Roman" w:hAnsi="Times New Roman" w:eastAsia="Times New Roman"/>
                <w:b w:val="0"/>
                <w:sz w:val="28"/>
                <w:szCs w:val="28"/>
              </w:rPr>
              <w:t>8</w:t>
            </w:r>
          </w:p>
        </w:tc>
        <w:tc>
          <w:tcPr>
            <w:tcW w:w="4945" w:type="dxa"/>
            <w:vAlign w:val="center"/>
          </w:tcPr>
          <w:p w14:paraId="153FEDAD">
            <w:pPr>
              <w:jc w:val="both"/>
              <w:rPr>
                <w:sz w:val="28"/>
                <w:szCs w:val="28"/>
              </w:rPr>
            </w:pPr>
            <w:r>
              <w:rPr>
                <w:rFonts w:ascii="Times New Roman" w:hAnsi="Times New Roman" w:eastAsia="Times New Roman"/>
                <w:b w:val="0"/>
                <w:sz w:val="28"/>
                <w:szCs w:val="28"/>
              </w:rPr>
              <w:t>Nơi nhận dẫn chiếu “Như Điều 10”.</w:t>
            </w:r>
          </w:p>
        </w:tc>
        <w:tc>
          <w:tcPr>
            <w:tcW w:w="5133" w:type="dxa"/>
            <w:vAlign w:val="center"/>
          </w:tcPr>
          <w:p w14:paraId="716C03E7">
            <w:pPr>
              <w:jc w:val="both"/>
              <w:rPr>
                <w:sz w:val="28"/>
                <w:szCs w:val="28"/>
              </w:rPr>
            </w:pPr>
            <w:r>
              <w:rPr>
                <w:rFonts w:ascii="Times New Roman" w:hAnsi="Times New Roman" w:eastAsia="Times New Roman"/>
                <w:b w:val="0"/>
                <w:sz w:val="28"/>
                <w:szCs w:val="28"/>
              </w:rPr>
              <w:t>Dự thảo cũ ghi “Như Điều 6”.</w:t>
            </w:r>
          </w:p>
        </w:tc>
        <w:tc>
          <w:tcPr>
            <w:tcW w:w="4288" w:type="dxa"/>
            <w:vAlign w:val="center"/>
          </w:tcPr>
          <w:p w14:paraId="1CA0C9B4">
            <w:pPr>
              <w:jc w:val="both"/>
              <w:rPr>
                <w:sz w:val="28"/>
                <w:szCs w:val="28"/>
              </w:rPr>
            </w:pPr>
            <w:r>
              <w:rPr>
                <w:rFonts w:ascii="Times New Roman" w:hAnsi="Times New Roman" w:eastAsia="Times New Roman"/>
                <w:b w:val="0"/>
                <w:sz w:val="28"/>
                <w:szCs w:val="28"/>
              </w:rPr>
              <w:t>Sửa lỗi kỹ thuật để thống nhất điều khoản trách nhiệm thi hành.</w:t>
            </w:r>
          </w:p>
        </w:tc>
      </w:tr>
      <w:tr w14:paraId="5608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9" w:type="dxa"/>
            <w:gridSpan w:val="4"/>
            <w:shd w:val="clear" w:color="auto" w:fill="B4C6E7"/>
            <w:vAlign w:val="center"/>
          </w:tcPr>
          <w:p w14:paraId="0C229271">
            <w:pPr>
              <w:jc w:val="left"/>
              <w:rPr>
                <w:sz w:val="28"/>
                <w:szCs w:val="28"/>
              </w:rPr>
            </w:pPr>
            <w:r>
              <w:rPr>
                <w:rFonts w:ascii="Times New Roman" w:hAnsi="Times New Roman" w:eastAsia="Times New Roman"/>
                <w:b/>
                <w:sz w:val="28"/>
                <w:szCs w:val="28"/>
              </w:rPr>
              <w:t>DỰ THẢO 2: PHÂN CẤP THUỘC THẨM QUYỀN CHỦ TỊCH VỀ TÀI CHÍNH, MÔI TRƯỜNG</w:t>
            </w:r>
          </w:p>
        </w:tc>
      </w:tr>
      <w:tr w14:paraId="4480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EAA4400">
            <w:pPr>
              <w:jc w:val="center"/>
              <w:rPr>
                <w:sz w:val="28"/>
                <w:szCs w:val="28"/>
              </w:rPr>
            </w:pPr>
            <w:r>
              <w:rPr>
                <w:rFonts w:ascii="Times New Roman" w:hAnsi="Times New Roman" w:eastAsia="Times New Roman"/>
                <w:b w:val="0"/>
                <w:sz w:val="28"/>
                <w:szCs w:val="28"/>
              </w:rPr>
              <w:t>9</w:t>
            </w:r>
          </w:p>
        </w:tc>
        <w:tc>
          <w:tcPr>
            <w:tcW w:w="4945" w:type="dxa"/>
            <w:vAlign w:val="center"/>
          </w:tcPr>
          <w:p w14:paraId="3D537153">
            <w:pPr>
              <w:jc w:val="both"/>
              <w:rPr>
                <w:sz w:val="28"/>
                <w:szCs w:val="28"/>
              </w:rPr>
            </w:pPr>
            <w:r>
              <w:rPr>
                <w:rFonts w:ascii="Times New Roman" w:hAnsi="Times New Roman" w:eastAsia="Times New Roman"/>
                <w:b w:val="0"/>
                <w:sz w:val="28"/>
                <w:szCs w:val="28"/>
              </w:rPr>
              <w:t>Phạm vi điều chỉnh và đối tượng áp dụng.</w:t>
            </w:r>
          </w:p>
        </w:tc>
        <w:tc>
          <w:tcPr>
            <w:tcW w:w="5133" w:type="dxa"/>
            <w:vAlign w:val="center"/>
          </w:tcPr>
          <w:p w14:paraId="510B7BA5">
            <w:pPr>
              <w:jc w:val="both"/>
              <w:rPr>
                <w:sz w:val="28"/>
                <w:szCs w:val="28"/>
              </w:rPr>
            </w:pPr>
            <w:r>
              <w:rPr>
                <w:rFonts w:ascii="Times New Roman" w:hAnsi="Times New Roman" w:eastAsia="Times New Roman"/>
                <w:b w:val="0"/>
                <w:sz w:val="28"/>
                <w:szCs w:val="28"/>
              </w:rPr>
              <w:t>Quy định chuyên ngành về quyết toán dự án, ĐTM và giấy phép môi trường.</w:t>
            </w:r>
          </w:p>
        </w:tc>
        <w:tc>
          <w:tcPr>
            <w:tcW w:w="4288" w:type="dxa"/>
            <w:vAlign w:val="center"/>
          </w:tcPr>
          <w:p w14:paraId="54C8A3DB">
            <w:pPr>
              <w:jc w:val="both"/>
              <w:rPr>
                <w:sz w:val="28"/>
                <w:szCs w:val="28"/>
              </w:rPr>
            </w:pPr>
            <w:r>
              <w:rPr>
                <w:rFonts w:ascii="Times New Roman" w:hAnsi="Times New Roman" w:eastAsia="Times New Roman"/>
                <w:b w:val="0"/>
                <w:sz w:val="28"/>
                <w:szCs w:val="28"/>
              </w:rPr>
              <w:t>Tách phạm vi địa bàn và đối tượng để bảo đảm chỉ áp dụng trong khu kinh tế, khu công nghiệp do Ban quản lý.</w:t>
            </w:r>
          </w:p>
        </w:tc>
      </w:tr>
      <w:tr w14:paraId="449C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75342B99">
            <w:pPr>
              <w:jc w:val="center"/>
              <w:rPr>
                <w:sz w:val="28"/>
                <w:szCs w:val="28"/>
              </w:rPr>
            </w:pPr>
            <w:r>
              <w:rPr>
                <w:rFonts w:ascii="Times New Roman" w:hAnsi="Times New Roman" w:eastAsia="Times New Roman"/>
                <w:b w:val="0"/>
                <w:sz w:val="28"/>
                <w:szCs w:val="28"/>
              </w:rPr>
              <w:t>10</w:t>
            </w:r>
          </w:p>
        </w:tc>
        <w:tc>
          <w:tcPr>
            <w:tcW w:w="4945" w:type="dxa"/>
            <w:vAlign w:val="center"/>
          </w:tcPr>
          <w:p w14:paraId="37469901">
            <w:pPr>
              <w:jc w:val="both"/>
              <w:rPr>
                <w:sz w:val="28"/>
                <w:szCs w:val="28"/>
              </w:rPr>
            </w:pPr>
            <w:r>
              <w:rPr>
                <w:rFonts w:ascii="Times New Roman" w:hAnsi="Times New Roman" w:eastAsia="Times New Roman"/>
                <w:b w:val="0"/>
                <w:sz w:val="28"/>
                <w:szCs w:val="28"/>
              </w:rPr>
              <w:t>Phê duyệt quyết toán vốn đầu tư, chi thường xuyên và nguồn ngân sách khác đối với dự án thuộc thẩm quyền quyết định đầu tư của Trưởng ban.</w:t>
            </w:r>
          </w:p>
        </w:tc>
        <w:tc>
          <w:tcPr>
            <w:tcW w:w="5133" w:type="dxa"/>
            <w:vAlign w:val="center"/>
          </w:tcPr>
          <w:p w14:paraId="002F2FD6">
            <w:pPr>
              <w:jc w:val="both"/>
              <w:rPr>
                <w:sz w:val="28"/>
                <w:szCs w:val="28"/>
              </w:rPr>
            </w:pPr>
            <w:r>
              <w:rPr>
                <w:rFonts w:ascii="Times New Roman" w:hAnsi="Times New Roman" w:eastAsia="Times New Roman"/>
                <w:b w:val="0"/>
                <w:sz w:val="28"/>
                <w:szCs w:val="28"/>
              </w:rPr>
              <w:t>Pháp luật đầu tư công, ngân sách và quyết toán phân biệt từng nguồn vốn, từng loại nhiệm vụ.</w:t>
            </w:r>
          </w:p>
        </w:tc>
        <w:tc>
          <w:tcPr>
            <w:tcW w:w="4288" w:type="dxa"/>
            <w:vAlign w:val="center"/>
          </w:tcPr>
          <w:p w14:paraId="25793138">
            <w:pPr>
              <w:jc w:val="both"/>
              <w:rPr>
                <w:sz w:val="28"/>
                <w:szCs w:val="28"/>
              </w:rPr>
            </w:pPr>
            <w:r>
              <w:rPr>
                <w:rFonts w:ascii="Times New Roman" w:hAnsi="Times New Roman" w:eastAsia="Times New Roman"/>
                <w:b w:val="0"/>
                <w:sz w:val="28"/>
                <w:szCs w:val="28"/>
              </w:rPr>
              <w:t>Chỉ áp dụng khi pháp luật chuyên ngành xác định Chủ tịch có thẩm quyền và cho phép phân cấp; không dùng một quy định chung để mở rộng sang nguồn vốn có cơ chế riêng.</w:t>
            </w:r>
          </w:p>
        </w:tc>
      </w:tr>
      <w:tr w14:paraId="10F6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6F242BF7">
            <w:pPr>
              <w:jc w:val="center"/>
              <w:rPr>
                <w:sz w:val="28"/>
                <w:szCs w:val="28"/>
              </w:rPr>
            </w:pPr>
            <w:r>
              <w:rPr>
                <w:rFonts w:ascii="Times New Roman" w:hAnsi="Times New Roman" w:eastAsia="Times New Roman"/>
                <w:b w:val="0"/>
                <w:sz w:val="28"/>
                <w:szCs w:val="28"/>
              </w:rPr>
              <w:t>11</w:t>
            </w:r>
          </w:p>
        </w:tc>
        <w:tc>
          <w:tcPr>
            <w:tcW w:w="4945" w:type="dxa"/>
            <w:vAlign w:val="center"/>
          </w:tcPr>
          <w:p w14:paraId="4141AE12">
            <w:pPr>
              <w:jc w:val="both"/>
              <w:rPr>
                <w:sz w:val="28"/>
                <w:szCs w:val="28"/>
              </w:rPr>
            </w:pPr>
            <w:r>
              <w:rPr>
                <w:rFonts w:ascii="Times New Roman" w:hAnsi="Times New Roman" w:eastAsia="Times New Roman"/>
                <w:b w:val="0"/>
                <w:sz w:val="28"/>
                <w:szCs w:val="28"/>
              </w:rPr>
              <w:t>Thẩm định và phê duyệt kết quả thẩm định báo cáo ĐTM.</w:t>
            </w:r>
          </w:p>
        </w:tc>
        <w:tc>
          <w:tcPr>
            <w:tcW w:w="5133" w:type="dxa"/>
            <w:vAlign w:val="center"/>
          </w:tcPr>
          <w:p w14:paraId="2CC87A0D">
            <w:pPr>
              <w:jc w:val="both"/>
              <w:rPr>
                <w:sz w:val="28"/>
                <w:szCs w:val="28"/>
              </w:rPr>
            </w:pPr>
            <w:r>
              <w:rPr>
                <w:rFonts w:ascii="Times New Roman" w:hAnsi="Times New Roman" w:eastAsia="Times New Roman"/>
                <w:b w:val="0"/>
                <w:sz w:val="28"/>
                <w:szCs w:val="28"/>
              </w:rPr>
              <w:t>Luật Bảo vệ môi trường và các nghị định phân định thẩm quyền theo loại dự án, cấp quản lý.</w:t>
            </w:r>
          </w:p>
        </w:tc>
        <w:tc>
          <w:tcPr>
            <w:tcW w:w="4288" w:type="dxa"/>
            <w:vAlign w:val="center"/>
          </w:tcPr>
          <w:p w14:paraId="462E93BF">
            <w:pPr>
              <w:jc w:val="both"/>
              <w:rPr>
                <w:sz w:val="28"/>
                <w:szCs w:val="28"/>
              </w:rPr>
            </w:pPr>
            <w:r>
              <w:rPr>
                <w:rFonts w:ascii="Times New Roman" w:hAnsi="Times New Roman" w:eastAsia="Times New Roman"/>
                <w:b w:val="0"/>
                <w:sz w:val="28"/>
                <w:szCs w:val="28"/>
              </w:rPr>
              <w:t>Giới hạn dự án thực hiện toàn bộ trong phạm vi Ban quản lý; loại trừ dự án thuộc Bộ Quốc phòng, Bộ Công an, Bộ Nông nghiệp và Môi trường và trường hợp không được phân cấp.</w:t>
            </w:r>
          </w:p>
        </w:tc>
      </w:tr>
      <w:tr w14:paraId="258C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505B7C0">
            <w:pPr>
              <w:jc w:val="center"/>
              <w:rPr>
                <w:sz w:val="28"/>
                <w:szCs w:val="28"/>
              </w:rPr>
            </w:pPr>
            <w:r>
              <w:rPr>
                <w:rFonts w:ascii="Times New Roman" w:hAnsi="Times New Roman" w:eastAsia="Times New Roman"/>
                <w:b w:val="0"/>
                <w:sz w:val="28"/>
                <w:szCs w:val="28"/>
              </w:rPr>
              <w:t>12</w:t>
            </w:r>
          </w:p>
        </w:tc>
        <w:tc>
          <w:tcPr>
            <w:tcW w:w="4945" w:type="dxa"/>
            <w:vAlign w:val="center"/>
          </w:tcPr>
          <w:p w14:paraId="19009BBA">
            <w:pPr>
              <w:jc w:val="both"/>
              <w:rPr>
                <w:sz w:val="28"/>
                <w:szCs w:val="28"/>
              </w:rPr>
            </w:pPr>
            <w:r>
              <w:rPr>
                <w:rFonts w:ascii="Times New Roman" w:hAnsi="Times New Roman" w:eastAsia="Times New Roman"/>
                <w:b w:val="0"/>
                <w:sz w:val="28"/>
                <w:szCs w:val="28"/>
              </w:rPr>
              <w:t>Cấp, điều chỉnh, thu hồi giấy phép môi trường.</w:t>
            </w:r>
          </w:p>
        </w:tc>
        <w:tc>
          <w:tcPr>
            <w:tcW w:w="5133" w:type="dxa"/>
            <w:vAlign w:val="center"/>
          </w:tcPr>
          <w:p w14:paraId="4CA92460">
            <w:pPr>
              <w:jc w:val="both"/>
              <w:rPr>
                <w:sz w:val="28"/>
                <w:szCs w:val="28"/>
              </w:rPr>
            </w:pPr>
            <w:r>
              <w:rPr>
                <w:rFonts w:ascii="Times New Roman" w:hAnsi="Times New Roman" w:eastAsia="Times New Roman"/>
                <w:b w:val="0"/>
                <w:sz w:val="28"/>
                <w:szCs w:val="28"/>
              </w:rPr>
              <w:t>Thẩm quyền cấp phép được xác định theo đối tượng, quy mô và cơ quan phê duyệt ĐTM.</w:t>
            </w:r>
          </w:p>
        </w:tc>
        <w:tc>
          <w:tcPr>
            <w:tcW w:w="4288" w:type="dxa"/>
            <w:vAlign w:val="center"/>
          </w:tcPr>
          <w:p w14:paraId="3757357A">
            <w:pPr>
              <w:jc w:val="both"/>
              <w:rPr>
                <w:sz w:val="28"/>
                <w:szCs w:val="28"/>
              </w:rPr>
            </w:pPr>
            <w:r>
              <w:rPr>
                <w:rFonts w:ascii="Times New Roman" w:hAnsi="Times New Roman" w:eastAsia="Times New Roman"/>
                <w:b w:val="0"/>
                <w:sz w:val="28"/>
                <w:szCs w:val="28"/>
              </w:rPr>
              <w:t>Quy định đồng bộ với ĐTM, đồng thời loại trừ thẩm quyền cấp xã và cơ quan trung ương.</w:t>
            </w:r>
          </w:p>
        </w:tc>
      </w:tr>
      <w:tr w14:paraId="699A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56E040E">
            <w:pPr>
              <w:jc w:val="center"/>
              <w:rPr>
                <w:sz w:val="28"/>
                <w:szCs w:val="28"/>
              </w:rPr>
            </w:pPr>
            <w:r>
              <w:rPr>
                <w:rFonts w:ascii="Times New Roman" w:hAnsi="Times New Roman" w:eastAsia="Times New Roman"/>
                <w:b w:val="0"/>
                <w:sz w:val="28"/>
                <w:szCs w:val="28"/>
              </w:rPr>
              <w:t>13</w:t>
            </w:r>
          </w:p>
        </w:tc>
        <w:tc>
          <w:tcPr>
            <w:tcW w:w="4945" w:type="dxa"/>
            <w:vAlign w:val="center"/>
          </w:tcPr>
          <w:p w14:paraId="5663C5CA">
            <w:pPr>
              <w:jc w:val="both"/>
              <w:rPr>
                <w:sz w:val="28"/>
                <w:szCs w:val="28"/>
              </w:rPr>
            </w:pPr>
            <w:r>
              <w:rPr>
                <w:rFonts w:ascii="Times New Roman" w:hAnsi="Times New Roman" w:eastAsia="Times New Roman"/>
                <w:b w:val="0"/>
                <w:sz w:val="28"/>
                <w:szCs w:val="28"/>
              </w:rPr>
              <w:t>Quy trình nội bộ và thủ tục hành chính.</w:t>
            </w:r>
          </w:p>
        </w:tc>
        <w:tc>
          <w:tcPr>
            <w:tcW w:w="5133" w:type="dxa"/>
            <w:vAlign w:val="center"/>
          </w:tcPr>
          <w:p w14:paraId="45C8D290">
            <w:pPr>
              <w:jc w:val="both"/>
              <w:rPr>
                <w:sz w:val="28"/>
                <w:szCs w:val="28"/>
              </w:rPr>
            </w:pPr>
            <w:r>
              <w:rPr>
                <w:rFonts w:ascii="Times New Roman" w:hAnsi="Times New Roman" w:eastAsia="Times New Roman"/>
                <w:b w:val="0"/>
                <w:sz w:val="28"/>
                <w:szCs w:val="28"/>
              </w:rPr>
              <w:t>Công bố, chuẩn hóa TTHC phải thực hiện theo quy định kiểm soát TTHC.</w:t>
            </w:r>
          </w:p>
        </w:tc>
        <w:tc>
          <w:tcPr>
            <w:tcW w:w="4288" w:type="dxa"/>
            <w:vAlign w:val="center"/>
          </w:tcPr>
          <w:p w14:paraId="64159549">
            <w:pPr>
              <w:jc w:val="both"/>
              <w:rPr>
                <w:sz w:val="28"/>
                <w:szCs w:val="28"/>
              </w:rPr>
            </w:pPr>
            <w:r>
              <w:rPr>
                <w:rFonts w:ascii="Times New Roman" w:hAnsi="Times New Roman" w:eastAsia="Times New Roman"/>
                <w:b w:val="0"/>
                <w:sz w:val="28"/>
                <w:szCs w:val="28"/>
              </w:rPr>
              <w:t>Chỉ cho phép ban hành quy trình nội bộ; không được tự đặt thêm hồ sơ, điều kiện hoặc thời hạn.</w:t>
            </w:r>
          </w:p>
        </w:tc>
      </w:tr>
      <w:tr w14:paraId="1C6C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740806A">
            <w:pPr>
              <w:jc w:val="center"/>
              <w:rPr>
                <w:sz w:val="28"/>
                <w:szCs w:val="28"/>
              </w:rPr>
            </w:pPr>
            <w:r>
              <w:rPr>
                <w:rFonts w:ascii="Times New Roman" w:hAnsi="Times New Roman" w:eastAsia="Times New Roman"/>
                <w:b w:val="0"/>
                <w:sz w:val="28"/>
                <w:szCs w:val="28"/>
              </w:rPr>
              <w:t>14</w:t>
            </w:r>
          </w:p>
        </w:tc>
        <w:tc>
          <w:tcPr>
            <w:tcW w:w="4945" w:type="dxa"/>
            <w:vAlign w:val="center"/>
          </w:tcPr>
          <w:p w14:paraId="187D623A">
            <w:pPr>
              <w:jc w:val="both"/>
              <w:rPr>
                <w:sz w:val="28"/>
                <w:szCs w:val="28"/>
              </w:rPr>
            </w:pPr>
            <w:r>
              <w:rPr>
                <w:rFonts w:ascii="Times New Roman" w:hAnsi="Times New Roman" w:eastAsia="Times New Roman"/>
                <w:b w:val="0"/>
                <w:sz w:val="28"/>
                <w:szCs w:val="28"/>
              </w:rPr>
              <w:t>Kiểm tra, xử lý trách nhiệm.</w:t>
            </w:r>
          </w:p>
        </w:tc>
        <w:tc>
          <w:tcPr>
            <w:tcW w:w="5133" w:type="dxa"/>
            <w:vAlign w:val="center"/>
          </w:tcPr>
          <w:p w14:paraId="5B87A661">
            <w:pPr>
              <w:jc w:val="both"/>
              <w:rPr>
                <w:sz w:val="28"/>
                <w:szCs w:val="28"/>
              </w:rPr>
            </w:pPr>
            <w:r>
              <w:rPr>
                <w:rFonts w:ascii="Times New Roman" w:hAnsi="Times New Roman" w:eastAsia="Times New Roman"/>
                <w:b w:val="0"/>
                <w:sz w:val="28"/>
                <w:szCs w:val="28"/>
              </w:rPr>
              <w:t>Cơ quan phân cấp có trách nhiệm kiểm tra, xử lý quyết định trái pháp luật.</w:t>
            </w:r>
          </w:p>
        </w:tc>
        <w:tc>
          <w:tcPr>
            <w:tcW w:w="4288" w:type="dxa"/>
            <w:vAlign w:val="center"/>
          </w:tcPr>
          <w:p w14:paraId="24619E18">
            <w:pPr>
              <w:jc w:val="both"/>
              <w:rPr>
                <w:sz w:val="28"/>
                <w:szCs w:val="28"/>
              </w:rPr>
            </w:pPr>
            <w:r>
              <w:rPr>
                <w:rFonts w:ascii="Times New Roman" w:hAnsi="Times New Roman" w:eastAsia="Times New Roman"/>
                <w:b w:val="0"/>
                <w:sz w:val="28"/>
                <w:szCs w:val="28"/>
              </w:rPr>
              <w:t>Bổ sung các biện pháp tạm dừng, đình chỉ, thu hồi, hủy bỏ, sửa đổi, bãi bỏ theo đúng thẩm quyền.</w:t>
            </w:r>
          </w:p>
        </w:tc>
      </w:tr>
      <w:tr w14:paraId="74F6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1DC6F229">
            <w:pPr>
              <w:jc w:val="center"/>
              <w:rPr>
                <w:sz w:val="28"/>
                <w:szCs w:val="28"/>
              </w:rPr>
            </w:pPr>
            <w:r>
              <w:rPr>
                <w:rFonts w:ascii="Times New Roman" w:hAnsi="Times New Roman" w:eastAsia="Times New Roman"/>
                <w:b w:val="0"/>
                <w:sz w:val="28"/>
                <w:szCs w:val="28"/>
              </w:rPr>
              <w:t>15</w:t>
            </w:r>
          </w:p>
        </w:tc>
        <w:tc>
          <w:tcPr>
            <w:tcW w:w="4945" w:type="dxa"/>
            <w:vAlign w:val="center"/>
          </w:tcPr>
          <w:p w14:paraId="2C4F99E5">
            <w:pPr>
              <w:jc w:val="both"/>
              <w:rPr>
                <w:sz w:val="28"/>
                <w:szCs w:val="28"/>
              </w:rPr>
            </w:pPr>
            <w:r>
              <w:rPr>
                <w:rFonts w:ascii="Times New Roman" w:hAnsi="Times New Roman" w:eastAsia="Times New Roman"/>
                <w:b w:val="0"/>
                <w:sz w:val="28"/>
                <w:szCs w:val="28"/>
              </w:rPr>
              <w:t>Hình thức văn bản và chủ thể ban hành.</w:t>
            </w:r>
          </w:p>
        </w:tc>
        <w:tc>
          <w:tcPr>
            <w:tcW w:w="5133" w:type="dxa"/>
            <w:vAlign w:val="center"/>
          </w:tcPr>
          <w:p w14:paraId="2FC2D30E">
            <w:pPr>
              <w:jc w:val="both"/>
              <w:rPr>
                <w:sz w:val="28"/>
                <w:szCs w:val="28"/>
              </w:rPr>
            </w:pPr>
            <w:r>
              <w:rPr>
                <w:rFonts w:ascii="Times New Roman" w:hAnsi="Times New Roman" w:eastAsia="Times New Roman"/>
                <w:b w:val="0"/>
                <w:sz w:val="28"/>
                <w:szCs w:val="28"/>
              </w:rPr>
              <w:t>Quy định về thẩm quyền ban hành VBQPPL và quyết định hành chính của Chủ tịch UBND.</w:t>
            </w:r>
          </w:p>
        </w:tc>
        <w:tc>
          <w:tcPr>
            <w:tcW w:w="4288" w:type="dxa"/>
            <w:vAlign w:val="center"/>
          </w:tcPr>
          <w:p w14:paraId="7FC8E0CF">
            <w:pPr>
              <w:jc w:val="both"/>
              <w:rPr>
                <w:sz w:val="28"/>
                <w:szCs w:val="28"/>
              </w:rPr>
            </w:pPr>
            <w:r>
              <w:rPr>
                <w:rFonts w:ascii="Times New Roman" w:hAnsi="Times New Roman" w:eastAsia="Times New Roman"/>
                <w:b w:val="0"/>
                <w:sz w:val="28"/>
                <w:szCs w:val="28"/>
              </w:rPr>
              <w:t>Đề nghị Sở Nội vụ phối hợp Sở Tư pháp xác nhận lần cuối việc sử dụng hình thức VBQPPL hay quyết định cá biệt/quyết định quản lý chung để bảo đảm đúng chủ thể ban hành.</w:t>
            </w:r>
          </w:p>
        </w:tc>
      </w:tr>
      <w:tr w14:paraId="321C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9" w:type="dxa"/>
            <w:gridSpan w:val="4"/>
            <w:shd w:val="clear" w:color="auto" w:fill="B4C6E7"/>
            <w:vAlign w:val="center"/>
          </w:tcPr>
          <w:p w14:paraId="6E35363F">
            <w:pPr>
              <w:jc w:val="left"/>
              <w:rPr>
                <w:sz w:val="28"/>
                <w:szCs w:val="28"/>
              </w:rPr>
            </w:pPr>
            <w:r>
              <w:rPr>
                <w:rFonts w:ascii="Times New Roman" w:hAnsi="Times New Roman" w:eastAsia="Times New Roman"/>
                <w:b/>
                <w:sz w:val="28"/>
                <w:szCs w:val="28"/>
              </w:rPr>
              <w:t>DỰ THẢO 3: ỦY QUYỀN CỦA UBND THÀNH PHỐ VỀ PPP VÀ DỊCH VỤ CÔNG</w:t>
            </w:r>
          </w:p>
        </w:tc>
      </w:tr>
      <w:tr w14:paraId="7351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704032B7">
            <w:pPr>
              <w:jc w:val="center"/>
              <w:rPr>
                <w:sz w:val="28"/>
                <w:szCs w:val="28"/>
              </w:rPr>
            </w:pPr>
            <w:r>
              <w:rPr>
                <w:rFonts w:ascii="Times New Roman" w:hAnsi="Times New Roman" w:eastAsia="Times New Roman"/>
                <w:b w:val="0"/>
                <w:sz w:val="28"/>
                <w:szCs w:val="28"/>
              </w:rPr>
              <w:t>16</w:t>
            </w:r>
          </w:p>
        </w:tc>
        <w:tc>
          <w:tcPr>
            <w:tcW w:w="4945" w:type="dxa"/>
            <w:vAlign w:val="center"/>
          </w:tcPr>
          <w:p w14:paraId="055878E8">
            <w:pPr>
              <w:jc w:val="both"/>
              <w:rPr>
                <w:sz w:val="28"/>
                <w:szCs w:val="28"/>
              </w:rPr>
            </w:pPr>
            <w:r>
              <w:rPr>
                <w:rFonts w:ascii="Times New Roman" w:hAnsi="Times New Roman" w:eastAsia="Times New Roman"/>
                <w:b w:val="0"/>
                <w:sz w:val="28"/>
                <w:szCs w:val="28"/>
              </w:rPr>
              <w:t>Ủy quyền nhiệm vụ cơ quan ký kết hợp đồng PPP.</w:t>
            </w:r>
          </w:p>
        </w:tc>
        <w:tc>
          <w:tcPr>
            <w:tcW w:w="5133" w:type="dxa"/>
            <w:vAlign w:val="center"/>
          </w:tcPr>
          <w:p w14:paraId="779B0588">
            <w:pPr>
              <w:jc w:val="both"/>
              <w:rPr>
                <w:sz w:val="28"/>
                <w:szCs w:val="28"/>
              </w:rPr>
            </w:pPr>
            <w:r>
              <w:rPr>
                <w:rFonts w:ascii="Times New Roman" w:hAnsi="Times New Roman" w:eastAsia="Times New Roman"/>
                <w:b w:val="0"/>
                <w:sz w:val="28"/>
                <w:szCs w:val="28"/>
              </w:rPr>
              <w:t>Pháp luật PPP cho phép cơ quan có thẩm quyền giao cơ quan ký kết hợp đồng theo điều kiện luật định.</w:t>
            </w:r>
          </w:p>
        </w:tc>
        <w:tc>
          <w:tcPr>
            <w:tcW w:w="4288" w:type="dxa"/>
            <w:vAlign w:val="center"/>
          </w:tcPr>
          <w:p w14:paraId="7459C563">
            <w:pPr>
              <w:jc w:val="both"/>
              <w:rPr>
                <w:sz w:val="28"/>
                <w:szCs w:val="28"/>
              </w:rPr>
            </w:pPr>
            <w:r>
              <w:rPr>
                <w:rFonts w:ascii="Times New Roman" w:hAnsi="Times New Roman" w:eastAsia="Times New Roman"/>
                <w:b w:val="0"/>
                <w:sz w:val="28"/>
                <w:szCs w:val="28"/>
              </w:rPr>
              <w:t>Giới hạn tại dự án mà UBND thành phố là cơ quan có thẩm quyền và Ban được phân cấp/thực hiện nhiệm vụ liên quan.</w:t>
            </w:r>
          </w:p>
        </w:tc>
      </w:tr>
      <w:tr w14:paraId="7E2E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2933DE1B">
            <w:pPr>
              <w:jc w:val="center"/>
              <w:rPr>
                <w:sz w:val="28"/>
                <w:szCs w:val="28"/>
              </w:rPr>
            </w:pPr>
            <w:r>
              <w:rPr>
                <w:rFonts w:ascii="Times New Roman" w:hAnsi="Times New Roman" w:eastAsia="Times New Roman"/>
                <w:b w:val="0"/>
                <w:sz w:val="28"/>
                <w:szCs w:val="28"/>
              </w:rPr>
              <w:t>17</w:t>
            </w:r>
          </w:p>
        </w:tc>
        <w:tc>
          <w:tcPr>
            <w:tcW w:w="4945" w:type="dxa"/>
            <w:vAlign w:val="center"/>
          </w:tcPr>
          <w:p w14:paraId="2DAECA20">
            <w:pPr>
              <w:jc w:val="both"/>
              <w:rPr>
                <w:sz w:val="28"/>
                <w:szCs w:val="28"/>
              </w:rPr>
            </w:pPr>
            <w:r>
              <w:rPr>
                <w:rFonts w:ascii="Times New Roman" w:hAnsi="Times New Roman" w:eastAsia="Times New Roman"/>
                <w:b w:val="0"/>
                <w:sz w:val="28"/>
                <w:szCs w:val="28"/>
              </w:rPr>
              <w:t>Ủy quyền giao nhiệm vụ, đặt hàng hoặc đấu thầu cung cấp sản phẩm, dịch vụ công.</w:t>
            </w:r>
          </w:p>
        </w:tc>
        <w:tc>
          <w:tcPr>
            <w:tcW w:w="5133" w:type="dxa"/>
            <w:vAlign w:val="center"/>
          </w:tcPr>
          <w:p w14:paraId="502A1123">
            <w:pPr>
              <w:jc w:val="both"/>
              <w:rPr>
                <w:sz w:val="28"/>
                <w:szCs w:val="28"/>
              </w:rPr>
            </w:pPr>
            <w:r>
              <w:rPr>
                <w:rFonts w:ascii="Times New Roman" w:hAnsi="Times New Roman" w:eastAsia="Times New Roman"/>
                <w:b w:val="0"/>
                <w:sz w:val="28"/>
                <w:szCs w:val="28"/>
              </w:rPr>
              <w:t>Nghị định về giao nhiệm vụ, đặt hàng, đấu thầu dịch vụ công sử dụng kinh phí chi thường xuyên.</w:t>
            </w:r>
          </w:p>
        </w:tc>
        <w:tc>
          <w:tcPr>
            <w:tcW w:w="4288" w:type="dxa"/>
            <w:vAlign w:val="center"/>
          </w:tcPr>
          <w:p w14:paraId="012920E5">
            <w:pPr>
              <w:jc w:val="both"/>
              <w:rPr>
                <w:sz w:val="28"/>
                <w:szCs w:val="28"/>
              </w:rPr>
            </w:pPr>
            <w:r>
              <w:rPr>
                <w:rFonts w:ascii="Times New Roman" w:hAnsi="Times New Roman" w:eastAsia="Times New Roman"/>
                <w:b w:val="0"/>
                <w:sz w:val="28"/>
                <w:szCs w:val="28"/>
              </w:rPr>
              <w:t>Giới hạn sản phẩm, dịch vụ thuộc chức năng Ban và nằm trong dự toán được giao; không ủy quyền quyết định ngoài dự toán hoặc vượt định mức.</w:t>
            </w:r>
          </w:p>
        </w:tc>
      </w:tr>
      <w:tr w14:paraId="6A05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356198D">
            <w:pPr>
              <w:jc w:val="center"/>
              <w:rPr>
                <w:sz w:val="28"/>
                <w:szCs w:val="28"/>
              </w:rPr>
            </w:pPr>
            <w:r>
              <w:rPr>
                <w:rFonts w:ascii="Times New Roman" w:hAnsi="Times New Roman" w:eastAsia="Times New Roman"/>
                <w:b w:val="0"/>
                <w:sz w:val="28"/>
                <w:szCs w:val="28"/>
              </w:rPr>
              <w:t>18</w:t>
            </w:r>
          </w:p>
        </w:tc>
        <w:tc>
          <w:tcPr>
            <w:tcW w:w="4945" w:type="dxa"/>
            <w:vAlign w:val="center"/>
          </w:tcPr>
          <w:p w14:paraId="147E0DBA">
            <w:pPr>
              <w:jc w:val="both"/>
              <w:rPr>
                <w:sz w:val="28"/>
                <w:szCs w:val="28"/>
              </w:rPr>
            </w:pPr>
            <w:r>
              <w:rPr>
                <w:rFonts w:ascii="Times New Roman" w:hAnsi="Times New Roman" w:eastAsia="Times New Roman"/>
                <w:b w:val="0"/>
                <w:sz w:val="28"/>
                <w:szCs w:val="28"/>
              </w:rPr>
              <w:t>Thời hạn đến 31/12/2030.</w:t>
            </w:r>
          </w:p>
        </w:tc>
        <w:tc>
          <w:tcPr>
            <w:tcW w:w="5133" w:type="dxa"/>
            <w:vAlign w:val="center"/>
          </w:tcPr>
          <w:p w14:paraId="254915B8">
            <w:pPr>
              <w:jc w:val="both"/>
              <w:rPr>
                <w:sz w:val="28"/>
                <w:szCs w:val="28"/>
              </w:rPr>
            </w:pPr>
            <w:r>
              <w:rPr>
                <w:rFonts w:ascii="Times New Roman" w:hAnsi="Times New Roman" w:eastAsia="Times New Roman"/>
                <w:b w:val="0"/>
                <w:sz w:val="28"/>
                <w:szCs w:val="28"/>
              </w:rPr>
              <w:t>Ủy quyền phải xác định thời hạn.</w:t>
            </w:r>
          </w:p>
        </w:tc>
        <w:tc>
          <w:tcPr>
            <w:tcW w:w="4288" w:type="dxa"/>
            <w:vAlign w:val="center"/>
          </w:tcPr>
          <w:p w14:paraId="02AD0DDE">
            <w:pPr>
              <w:jc w:val="both"/>
              <w:rPr>
                <w:sz w:val="28"/>
                <w:szCs w:val="28"/>
              </w:rPr>
            </w:pPr>
            <w:r>
              <w:rPr>
                <w:rFonts w:ascii="Times New Roman" w:hAnsi="Times New Roman" w:eastAsia="Times New Roman"/>
                <w:b w:val="0"/>
                <w:sz w:val="28"/>
                <w:szCs w:val="28"/>
              </w:rPr>
              <w:t>Thời hạn gắn với kỳ kế hoạch; quy định chấm dứt trước hạn khi pháp luật thay đổi hoặc Ban không còn đủ điều kiện.</w:t>
            </w:r>
          </w:p>
        </w:tc>
      </w:tr>
      <w:tr w14:paraId="4FDE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3DF25CA">
            <w:pPr>
              <w:jc w:val="center"/>
              <w:rPr>
                <w:sz w:val="28"/>
                <w:szCs w:val="28"/>
              </w:rPr>
            </w:pPr>
            <w:r>
              <w:rPr>
                <w:rFonts w:ascii="Times New Roman" w:hAnsi="Times New Roman" w:eastAsia="Times New Roman"/>
                <w:b w:val="0"/>
                <w:sz w:val="28"/>
                <w:szCs w:val="28"/>
              </w:rPr>
              <w:t>19</w:t>
            </w:r>
          </w:p>
        </w:tc>
        <w:tc>
          <w:tcPr>
            <w:tcW w:w="4945" w:type="dxa"/>
            <w:vAlign w:val="center"/>
          </w:tcPr>
          <w:p w14:paraId="24DEC930">
            <w:pPr>
              <w:jc w:val="both"/>
              <w:rPr>
                <w:sz w:val="28"/>
                <w:szCs w:val="28"/>
              </w:rPr>
            </w:pPr>
            <w:r>
              <w:rPr>
                <w:rFonts w:ascii="Times New Roman" w:hAnsi="Times New Roman" w:eastAsia="Times New Roman"/>
                <w:b w:val="0"/>
                <w:sz w:val="28"/>
                <w:szCs w:val="28"/>
              </w:rPr>
              <w:t>Sử dụng chức danh và con dấu.</w:t>
            </w:r>
          </w:p>
        </w:tc>
        <w:tc>
          <w:tcPr>
            <w:tcW w:w="5133" w:type="dxa"/>
            <w:vAlign w:val="center"/>
          </w:tcPr>
          <w:p w14:paraId="785C40DC">
            <w:pPr>
              <w:jc w:val="both"/>
              <w:rPr>
                <w:sz w:val="28"/>
                <w:szCs w:val="28"/>
              </w:rPr>
            </w:pPr>
            <w:r>
              <w:rPr>
                <w:rFonts w:ascii="Times New Roman" w:hAnsi="Times New Roman" w:eastAsia="Times New Roman"/>
                <w:b w:val="0"/>
                <w:sz w:val="28"/>
                <w:szCs w:val="28"/>
              </w:rPr>
              <w:t>Người được ủy quyền thực hiện bằng chức danh của mình và con dấu cơ quan theo quy định.</w:t>
            </w:r>
          </w:p>
        </w:tc>
        <w:tc>
          <w:tcPr>
            <w:tcW w:w="4288" w:type="dxa"/>
            <w:vAlign w:val="center"/>
          </w:tcPr>
          <w:p w14:paraId="1B659EDD">
            <w:pPr>
              <w:jc w:val="both"/>
              <w:rPr>
                <w:sz w:val="28"/>
                <w:szCs w:val="28"/>
              </w:rPr>
            </w:pPr>
            <w:r>
              <w:rPr>
                <w:rFonts w:ascii="Times New Roman" w:hAnsi="Times New Roman" w:eastAsia="Times New Roman"/>
                <w:b w:val="0"/>
                <w:sz w:val="28"/>
                <w:szCs w:val="28"/>
              </w:rPr>
              <w:t>Quy định rõ để tránh ký thay UBND thành phố hoặc sử dụng sai con dấu.</w:t>
            </w:r>
          </w:p>
        </w:tc>
      </w:tr>
      <w:tr w14:paraId="3641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5065F884">
            <w:pPr>
              <w:jc w:val="center"/>
              <w:rPr>
                <w:sz w:val="28"/>
                <w:szCs w:val="28"/>
              </w:rPr>
            </w:pPr>
            <w:r>
              <w:rPr>
                <w:rFonts w:ascii="Times New Roman" w:hAnsi="Times New Roman" w:eastAsia="Times New Roman"/>
                <w:b w:val="0"/>
                <w:sz w:val="28"/>
                <w:szCs w:val="28"/>
              </w:rPr>
              <w:t>20</w:t>
            </w:r>
          </w:p>
        </w:tc>
        <w:tc>
          <w:tcPr>
            <w:tcW w:w="4945" w:type="dxa"/>
            <w:vAlign w:val="center"/>
          </w:tcPr>
          <w:p w14:paraId="42B24767">
            <w:pPr>
              <w:jc w:val="both"/>
              <w:rPr>
                <w:sz w:val="28"/>
                <w:szCs w:val="28"/>
              </w:rPr>
            </w:pPr>
            <w:r>
              <w:rPr>
                <w:rFonts w:ascii="Times New Roman" w:hAnsi="Times New Roman" w:eastAsia="Times New Roman"/>
                <w:b w:val="0"/>
                <w:sz w:val="28"/>
                <w:szCs w:val="28"/>
              </w:rPr>
              <w:t>Không ủy quyền tiếp.</w:t>
            </w:r>
          </w:p>
        </w:tc>
        <w:tc>
          <w:tcPr>
            <w:tcW w:w="5133" w:type="dxa"/>
            <w:vAlign w:val="center"/>
          </w:tcPr>
          <w:p w14:paraId="6400994B">
            <w:pPr>
              <w:jc w:val="both"/>
              <w:rPr>
                <w:sz w:val="28"/>
                <w:szCs w:val="28"/>
              </w:rPr>
            </w:pPr>
            <w:r>
              <w:rPr>
                <w:rFonts w:ascii="Times New Roman" w:hAnsi="Times New Roman" w:eastAsia="Times New Roman"/>
                <w:b w:val="0"/>
                <w:sz w:val="28"/>
                <w:szCs w:val="28"/>
              </w:rPr>
              <w:t>Nguyên tắc trách nhiệm cá nhân của người được ủy quyền.</w:t>
            </w:r>
          </w:p>
        </w:tc>
        <w:tc>
          <w:tcPr>
            <w:tcW w:w="4288" w:type="dxa"/>
            <w:vAlign w:val="center"/>
          </w:tcPr>
          <w:p w14:paraId="4224E2BA">
            <w:pPr>
              <w:jc w:val="both"/>
              <w:rPr>
                <w:sz w:val="28"/>
                <w:szCs w:val="28"/>
              </w:rPr>
            </w:pPr>
            <w:r>
              <w:rPr>
                <w:rFonts w:ascii="Times New Roman" w:hAnsi="Times New Roman" w:eastAsia="Times New Roman"/>
                <w:b w:val="0"/>
                <w:sz w:val="28"/>
                <w:szCs w:val="28"/>
              </w:rPr>
              <w:t>Duy trì quy định cấm ủy quyền tiếp, trừ trường hợp pháp luật chuyên ngành có quy định rõ khác.</w:t>
            </w:r>
          </w:p>
        </w:tc>
      </w:tr>
      <w:tr w14:paraId="0585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7BB0FB58">
            <w:pPr>
              <w:jc w:val="center"/>
              <w:rPr>
                <w:sz w:val="28"/>
                <w:szCs w:val="28"/>
              </w:rPr>
            </w:pPr>
            <w:r>
              <w:rPr>
                <w:rFonts w:ascii="Times New Roman" w:hAnsi="Times New Roman" w:eastAsia="Times New Roman"/>
                <w:b w:val="0"/>
                <w:sz w:val="28"/>
                <w:szCs w:val="28"/>
              </w:rPr>
              <w:t>21</w:t>
            </w:r>
          </w:p>
        </w:tc>
        <w:tc>
          <w:tcPr>
            <w:tcW w:w="4945" w:type="dxa"/>
            <w:vAlign w:val="center"/>
          </w:tcPr>
          <w:p w14:paraId="40B33527">
            <w:pPr>
              <w:jc w:val="both"/>
              <w:rPr>
                <w:sz w:val="28"/>
                <w:szCs w:val="28"/>
              </w:rPr>
            </w:pPr>
            <w:r>
              <w:rPr>
                <w:rFonts w:ascii="Times New Roman" w:hAnsi="Times New Roman" w:eastAsia="Times New Roman"/>
                <w:b w:val="0"/>
                <w:sz w:val="28"/>
                <w:szCs w:val="28"/>
              </w:rPr>
              <w:t>Báo cáo, kiểm tra, đình chỉ/chấm dứt.</w:t>
            </w:r>
          </w:p>
        </w:tc>
        <w:tc>
          <w:tcPr>
            <w:tcW w:w="5133" w:type="dxa"/>
            <w:vAlign w:val="center"/>
          </w:tcPr>
          <w:p w14:paraId="2869B6A6">
            <w:pPr>
              <w:jc w:val="both"/>
              <w:rPr>
                <w:sz w:val="28"/>
                <w:szCs w:val="28"/>
              </w:rPr>
            </w:pPr>
            <w:r>
              <w:rPr>
                <w:rFonts w:ascii="Times New Roman" w:hAnsi="Times New Roman" w:eastAsia="Times New Roman"/>
                <w:b w:val="0"/>
                <w:sz w:val="28"/>
                <w:szCs w:val="28"/>
              </w:rPr>
              <w:t>UBND thành phố vẫn chịu trách nhiệm về tính hợp pháp của ủy quyền.</w:t>
            </w:r>
          </w:p>
        </w:tc>
        <w:tc>
          <w:tcPr>
            <w:tcW w:w="4288" w:type="dxa"/>
            <w:vAlign w:val="center"/>
          </w:tcPr>
          <w:p w14:paraId="44C8770B">
            <w:pPr>
              <w:jc w:val="both"/>
              <w:rPr>
                <w:sz w:val="28"/>
                <w:szCs w:val="28"/>
              </w:rPr>
            </w:pPr>
            <w:r>
              <w:rPr>
                <w:rFonts w:ascii="Times New Roman" w:hAnsi="Times New Roman" w:eastAsia="Times New Roman"/>
                <w:b w:val="0"/>
                <w:sz w:val="28"/>
                <w:szCs w:val="28"/>
              </w:rPr>
              <w:t>Bổ sung cơ chế giám sát và xử lý khi thực hiện sai phạm vi hoặc không còn phù hợp.</w:t>
            </w:r>
          </w:p>
        </w:tc>
      </w:tr>
      <w:tr w14:paraId="2E63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9" w:type="dxa"/>
            <w:gridSpan w:val="4"/>
            <w:shd w:val="clear" w:color="auto" w:fill="B4C6E7"/>
            <w:vAlign w:val="center"/>
          </w:tcPr>
          <w:p w14:paraId="1A00E13C">
            <w:pPr>
              <w:jc w:val="left"/>
              <w:rPr>
                <w:sz w:val="28"/>
                <w:szCs w:val="28"/>
              </w:rPr>
            </w:pPr>
            <w:r>
              <w:rPr>
                <w:rFonts w:ascii="Times New Roman" w:hAnsi="Times New Roman" w:eastAsia="Times New Roman"/>
                <w:b/>
                <w:sz w:val="28"/>
                <w:szCs w:val="28"/>
              </w:rPr>
              <w:t>DỰ TH</w:t>
            </w:r>
            <w:bookmarkStart w:id="0" w:name="_GoBack"/>
            <w:bookmarkEnd w:id="0"/>
            <w:r>
              <w:rPr>
                <w:rFonts w:ascii="Times New Roman" w:hAnsi="Times New Roman" w:eastAsia="Times New Roman"/>
                <w:b/>
                <w:sz w:val="28"/>
                <w:szCs w:val="28"/>
              </w:rPr>
              <w:t>ẢO 4: ỦY QUYỀN CỦA CHỦ TỊCH VỀ QUYẾT ĐỊNH ĐẦU TƯ CÔNG</w:t>
            </w:r>
          </w:p>
        </w:tc>
      </w:tr>
      <w:tr w14:paraId="49F4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A2799A8">
            <w:pPr>
              <w:jc w:val="center"/>
              <w:rPr>
                <w:sz w:val="28"/>
                <w:szCs w:val="28"/>
              </w:rPr>
            </w:pPr>
            <w:r>
              <w:rPr>
                <w:rFonts w:ascii="Times New Roman" w:hAnsi="Times New Roman" w:eastAsia="Times New Roman"/>
                <w:b w:val="0"/>
                <w:sz w:val="28"/>
                <w:szCs w:val="28"/>
              </w:rPr>
              <w:t>22</w:t>
            </w:r>
          </w:p>
        </w:tc>
        <w:tc>
          <w:tcPr>
            <w:tcW w:w="4945" w:type="dxa"/>
            <w:vAlign w:val="center"/>
          </w:tcPr>
          <w:p w14:paraId="65CE22CE">
            <w:pPr>
              <w:jc w:val="both"/>
              <w:rPr>
                <w:sz w:val="28"/>
                <w:szCs w:val="28"/>
              </w:rPr>
            </w:pPr>
            <w:r>
              <w:rPr>
                <w:rFonts w:ascii="Times New Roman" w:hAnsi="Times New Roman" w:eastAsia="Times New Roman"/>
                <w:b w:val="0"/>
                <w:sz w:val="28"/>
                <w:szCs w:val="28"/>
              </w:rPr>
              <w:t>Quyết định đầu tư, điều chỉnh dự án nhóm B, nhóm C do cấp thành phố quản lý, do Ban hoặc đơn vị trực thuộc làm chủ đầu tư.</w:t>
            </w:r>
          </w:p>
        </w:tc>
        <w:tc>
          <w:tcPr>
            <w:tcW w:w="5133" w:type="dxa"/>
            <w:vAlign w:val="center"/>
          </w:tcPr>
          <w:p w14:paraId="026260BC">
            <w:pPr>
              <w:jc w:val="both"/>
              <w:rPr>
                <w:sz w:val="28"/>
                <w:szCs w:val="28"/>
              </w:rPr>
            </w:pPr>
            <w:r>
              <w:rPr>
                <w:rFonts w:ascii="Times New Roman" w:hAnsi="Times New Roman" w:eastAsia="Times New Roman"/>
                <w:b w:val="0"/>
                <w:sz w:val="28"/>
                <w:szCs w:val="28"/>
              </w:rPr>
              <w:t>Luật Đầu tư công quy định thẩm quyền quyết định đầu tư theo cấp quản lý và nhóm dự án.</w:t>
            </w:r>
          </w:p>
        </w:tc>
        <w:tc>
          <w:tcPr>
            <w:tcW w:w="4288" w:type="dxa"/>
            <w:vAlign w:val="center"/>
          </w:tcPr>
          <w:p w14:paraId="6A249E92">
            <w:pPr>
              <w:jc w:val="both"/>
              <w:rPr>
                <w:sz w:val="28"/>
                <w:szCs w:val="28"/>
              </w:rPr>
            </w:pPr>
            <w:r>
              <w:rPr>
                <w:rFonts w:ascii="Times New Roman" w:hAnsi="Times New Roman" w:eastAsia="Times New Roman"/>
                <w:b w:val="0"/>
                <w:sz w:val="28"/>
                <w:szCs w:val="28"/>
              </w:rPr>
              <w:t>Thu hẹp đúng dự án thuộc quản lý của Ban; loại bỏ vốn nhà nước ngoài đầu tư công để tránh trộn hai chế độ pháp lý.</w:t>
            </w:r>
          </w:p>
        </w:tc>
      </w:tr>
      <w:tr w14:paraId="0682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581E4B2A">
            <w:pPr>
              <w:jc w:val="center"/>
              <w:rPr>
                <w:sz w:val="28"/>
                <w:szCs w:val="28"/>
              </w:rPr>
            </w:pPr>
            <w:r>
              <w:rPr>
                <w:rFonts w:ascii="Times New Roman" w:hAnsi="Times New Roman" w:eastAsia="Times New Roman"/>
                <w:b w:val="0"/>
                <w:sz w:val="28"/>
                <w:szCs w:val="28"/>
              </w:rPr>
              <w:t>23</w:t>
            </w:r>
          </w:p>
        </w:tc>
        <w:tc>
          <w:tcPr>
            <w:tcW w:w="4945" w:type="dxa"/>
            <w:vAlign w:val="center"/>
          </w:tcPr>
          <w:p w14:paraId="0F3FE3DF">
            <w:pPr>
              <w:jc w:val="both"/>
              <w:rPr>
                <w:sz w:val="28"/>
                <w:szCs w:val="28"/>
              </w:rPr>
            </w:pPr>
            <w:r>
              <w:rPr>
                <w:rFonts w:ascii="Times New Roman" w:hAnsi="Times New Roman" w:eastAsia="Times New Roman"/>
                <w:b w:val="0"/>
                <w:sz w:val="28"/>
                <w:szCs w:val="28"/>
              </w:rPr>
              <w:t>Điều kiện: có chủ trương đầu tư, trong kế hoạch, rõ nguồn và cân đối vốn, hồ sơ đã thẩm định.</w:t>
            </w:r>
          </w:p>
        </w:tc>
        <w:tc>
          <w:tcPr>
            <w:tcW w:w="5133" w:type="dxa"/>
            <w:vAlign w:val="center"/>
          </w:tcPr>
          <w:p w14:paraId="09C90633">
            <w:pPr>
              <w:jc w:val="both"/>
              <w:rPr>
                <w:sz w:val="28"/>
                <w:szCs w:val="28"/>
              </w:rPr>
            </w:pPr>
            <w:r>
              <w:rPr>
                <w:rFonts w:ascii="Times New Roman" w:hAnsi="Times New Roman" w:eastAsia="Times New Roman"/>
                <w:b w:val="0"/>
                <w:sz w:val="28"/>
                <w:szCs w:val="28"/>
              </w:rPr>
              <w:t>Pháp luật đầu tư công, xây dựng quy định điều kiện quyết định đầu tư.</w:t>
            </w:r>
          </w:p>
        </w:tc>
        <w:tc>
          <w:tcPr>
            <w:tcW w:w="4288" w:type="dxa"/>
            <w:vAlign w:val="center"/>
          </w:tcPr>
          <w:p w14:paraId="2C9AFD04">
            <w:pPr>
              <w:jc w:val="both"/>
              <w:rPr>
                <w:sz w:val="28"/>
                <w:szCs w:val="28"/>
              </w:rPr>
            </w:pPr>
            <w:r>
              <w:rPr>
                <w:rFonts w:ascii="Times New Roman" w:hAnsi="Times New Roman" w:eastAsia="Times New Roman"/>
                <w:b w:val="0"/>
                <w:sz w:val="28"/>
                <w:szCs w:val="28"/>
              </w:rPr>
              <w:t>Chuyển các điều kiện bắt buộc thành điều khoản rõ ràng để người được ủy quyền tự kiểm tra trước khi ký.</w:t>
            </w:r>
          </w:p>
        </w:tc>
      </w:tr>
      <w:tr w14:paraId="393E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08970CD7">
            <w:pPr>
              <w:jc w:val="center"/>
              <w:rPr>
                <w:sz w:val="28"/>
                <w:szCs w:val="28"/>
              </w:rPr>
            </w:pPr>
            <w:r>
              <w:rPr>
                <w:rFonts w:ascii="Times New Roman" w:hAnsi="Times New Roman" w:eastAsia="Times New Roman"/>
                <w:b w:val="0"/>
                <w:sz w:val="28"/>
                <w:szCs w:val="28"/>
              </w:rPr>
              <w:t>24</w:t>
            </w:r>
          </w:p>
        </w:tc>
        <w:tc>
          <w:tcPr>
            <w:tcW w:w="4945" w:type="dxa"/>
            <w:vAlign w:val="center"/>
          </w:tcPr>
          <w:p w14:paraId="305F444B">
            <w:pPr>
              <w:jc w:val="both"/>
              <w:rPr>
                <w:sz w:val="28"/>
                <w:szCs w:val="28"/>
              </w:rPr>
            </w:pPr>
            <w:r>
              <w:rPr>
                <w:rFonts w:ascii="Times New Roman" w:hAnsi="Times New Roman" w:eastAsia="Times New Roman"/>
                <w:b w:val="0"/>
                <w:sz w:val="28"/>
                <w:szCs w:val="28"/>
              </w:rPr>
              <w:t>Loại trừ nhóm A, dự án quan trọng quốc gia, ODA, dự án khẩn cấp, quốc phòng, an ninh, bí mật nhà nước.</w:t>
            </w:r>
          </w:p>
        </w:tc>
        <w:tc>
          <w:tcPr>
            <w:tcW w:w="5133" w:type="dxa"/>
            <w:vAlign w:val="center"/>
          </w:tcPr>
          <w:p w14:paraId="37995F53">
            <w:pPr>
              <w:jc w:val="both"/>
              <w:rPr>
                <w:sz w:val="28"/>
                <w:szCs w:val="28"/>
              </w:rPr>
            </w:pPr>
            <w:r>
              <w:rPr>
                <w:rFonts w:ascii="Times New Roman" w:hAnsi="Times New Roman" w:eastAsia="Times New Roman"/>
                <w:b w:val="0"/>
                <w:sz w:val="28"/>
                <w:szCs w:val="28"/>
              </w:rPr>
              <w:t>Các loại dự án này có quy trình và thẩm quyền đặc thù.</w:t>
            </w:r>
          </w:p>
        </w:tc>
        <w:tc>
          <w:tcPr>
            <w:tcW w:w="4288" w:type="dxa"/>
            <w:vAlign w:val="center"/>
          </w:tcPr>
          <w:p w14:paraId="66F3F443">
            <w:pPr>
              <w:jc w:val="both"/>
              <w:rPr>
                <w:sz w:val="28"/>
                <w:szCs w:val="28"/>
              </w:rPr>
            </w:pPr>
            <w:r>
              <w:rPr>
                <w:rFonts w:ascii="Times New Roman" w:hAnsi="Times New Roman" w:eastAsia="Times New Roman"/>
                <w:b w:val="0"/>
                <w:sz w:val="28"/>
                <w:szCs w:val="28"/>
              </w:rPr>
              <w:t>Bảo đảm không mở rộng ủy quyền vượt luật.</w:t>
            </w:r>
          </w:p>
        </w:tc>
      </w:tr>
      <w:tr w14:paraId="3FC7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72DBDB93">
            <w:pPr>
              <w:jc w:val="center"/>
              <w:rPr>
                <w:sz w:val="28"/>
                <w:szCs w:val="28"/>
              </w:rPr>
            </w:pPr>
            <w:r>
              <w:rPr>
                <w:rFonts w:ascii="Times New Roman" w:hAnsi="Times New Roman" w:eastAsia="Times New Roman"/>
                <w:b w:val="0"/>
                <w:sz w:val="28"/>
                <w:szCs w:val="28"/>
              </w:rPr>
              <w:t>25</w:t>
            </w:r>
          </w:p>
        </w:tc>
        <w:tc>
          <w:tcPr>
            <w:tcW w:w="4945" w:type="dxa"/>
            <w:vAlign w:val="center"/>
          </w:tcPr>
          <w:p w14:paraId="5E83C9B2">
            <w:pPr>
              <w:jc w:val="both"/>
              <w:rPr>
                <w:sz w:val="28"/>
                <w:szCs w:val="28"/>
              </w:rPr>
            </w:pPr>
            <w:r>
              <w:rPr>
                <w:rFonts w:ascii="Times New Roman" w:hAnsi="Times New Roman" w:eastAsia="Times New Roman"/>
                <w:b w:val="0"/>
                <w:sz w:val="28"/>
                <w:szCs w:val="28"/>
              </w:rPr>
              <w:t>Thời hạn đến 31/12/2030 và xử lý hồ sơ khi chấm dứt.</w:t>
            </w:r>
          </w:p>
        </w:tc>
        <w:tc>
          <w:tcPr>
            <w:tcW w:w="5133" w:type="dxa"/>
            <w:vAlign w:val="center"/>
          </w:tcPr>
          <w:p w14:paraId="54F3D529">
            <w:pPr>
              <w:jc w:val="both"/>
              <w:rPr>
                <w:sz w:val="28"/>
                <w:szCs w:val="28"/>
              </w:rPr>
            </w:pPr>
            <w:r>
              <w:rPr>
                <w:rFonts w:ascii="Times New Roman" w:hAnsi="Times New Roman" w:eastAsia="Times New Roman"/>
                <w:b w:val="0"/>
                <w:sz w:val="28"/>
                <w:szCs w:val="28"/>
              </w:rPr>
              <w:t>Ủy quyền phải có thời hạn và cơ chế chuyển tiếp.</w:t>
            </w:r>
          </w:p>
        </w:tc>
        <w:tc>
          <w:tcPr>
            <w:tcW w:w="4288" w:type="dxa"/>
            <w:vAlign w:val="center"/>
          </w:tcPr>
          <w:p w14:paraId="168B64F4">
            <w:pPr>
              <w:jc w:val="both"/>
              <w:rPr>
                <w:sz w:val="28"/>
                <w:szCs w:val="28"/>
              </w:rPr>
            </w:pPr>
            <w:r>
              <w:rPr>
                <w:rFonts w:ascii="Times New Roman" w:hAnsi="Times New Roman" w:eastAsia="Times New Roman"/>
                <w:b w:val="0"/>
                <w:sz w:val="28"/>
                <w:szCs w:val="28"/>
              </w:rPr>
              <w:t>Quy định hồ sơ chưa ban hành quyết định phải chuyển Chủ tịch UBND thành phố, trừ văn bản chấm dứt có quy định khác.</w:t>
            </w:r>
          </w:p>
        </w:tc>
      </w:tr>
      <w:tr w14:paraId="02D2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7D742577">
            <w:pPr>
              <w:jc w:val="center"/>
              <w:rPr>
                <w:sz w:val="28"/>
                <w:szCs w:val="28"/>
              </w:rPr>
            </w:pPr>
            <w:r>
              <w:rPr>
                <w:rFonts w:ascii="Times New Roman" w:hAnsi="Times New Roman" w:eastAsia="Times New Roman"/>
                <w:b w:val="0"/>
                <w:sz w:val="28"/>
                <w:szCs w:val="28"/>
              </w:rPr>
              <w:t>26</w:t>
            </w:r>
          </w:p>
        </w:tc>
        <w:tc>
          <w:tcPr>
            <w:tcW w:w="4945" w:type="dxa"/>
            <w:vAlign w:val="center"/>
          </w:tcPr>
          <w:p w14:paraId="690B2CBC">
            <w:pPr>
              <w:jc w:val="both"/>
              <w:rPr>
                <w:sz w:val="28"/>
                <w:szCs w:val="28"/>
              </w:rPr>
            </w:pPr>
            <w:r>
              <w:rPr>
                <w:rFonts w:ascii="Times New Roman" w:hAnsi="Times New Roman" w:eastAsia="Times New Roman"/>
                <w:b w:val="0"/>
                <w:sz w:val="28"/>
                <w:szCs w:val="28"/>
              </w:rPr>
              <w:t>Bảo đảm độc lập giữa chủ đầu tư, cơ quan thẩm định và người quyết định đầu tư.</w:t>
            </w:r>
          </w:p>
        </w:tc>
        <w:tc>
          <w:tcPr>
            <w:tcW w:w="5133" w:type="dxa"/>
            <w:vAlign w:val="center"/>
          </w:tcPr>
          <w:p w14:paraId="40E63315">
            <w:pPr>
              <w:jc w:val="both"/>
              <w:rPr>
                <w:sz w:val="28"/>
                <w:szCs w:val="28"/>
              </w:rPr>
            </w:pPr>
            <w:r>
              <w:rPr>
                <w:rFonts w:ascii="Times New Roman" w:hAnsi="Times New Roman" w:eastAsia="Times New Roman"/>
                <w:b w:val="0"/>
                <w:sz w:val="28"/>
                <w:szCs w:val="28"/>
              </w:rPr>
              <w:t>Pháp luật đầu tư công, xây dựng yêu cầu kiểm soát xung đột chức năng.</w:t>
            </w:r>
          </w:p>
        </w:tc>
        <w:tc>
          <w:tcPr>
            <w:tcW w:w="4288" w:type="dxa"/>
            <w:vAlign w:val="center"/>
          </w:tcPr>
          <w:p w14:paraId="23DA4173">
            <w:pPr>
              <w:jc w:val="both"/>
              <w:rPr>
                <w:sz w:val="28"/>
                <w:szCs w:val="28"/>
              </w:rPr>
            </w:pPr>
            <w:r>
              <w:rPr>
                <w:rFonts w:ascii="Times New Roman" w:hAnsi="Times New Roman" w:eastAsia="Times New Roman"/>
                <w:b w:val="0"/>
                <w:sz w:val="28"/>
                <w:szCs w:val="28"/>
              </w:rPr>
              <w:t>Đây là điều kiện tổ chức thực hiện quan trọng khi Ban hoặc đơn vị trực thuộc đồng thời làm chủ đầu tư.</w:t>
            </w:r>
          </w:p>
        </w:tc>
      </w:tr>
      <w:tr w14:paraId="05ED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CFF4A2C">
            <w:pPr>
              <w:jc w:val="center"/>
              <w:rPr>
                <w:sz w:val="28"/>
                <w:szCs w:val="28"/>
              </w:rPr>
            </w:pPr>
            <w:r>
              <w:rPr>
                <w:rFonts w:ascii="Times New Roman" w:hAnsi="Times New Roman" w:eastAsia="Times New Roman"/>
                <w:b w:val="0"/>
                <w:sz w:val="28"/>
                <w:szCs w:val="28"/>
              </w:rPr>
              <w:t>27</w:t>
            </w:r>
          </w:p>
        </w:tc>
        <w:tc>
          <w:tcPr>
            <w:tcW w:w="4945" w:type="dxa"/>
            <w:vAlign w:val="center"/>
          </w:tcPr>
          <w:p w14:paraId="0DFD0D78">
            <w:pPr>
              <w:jc w:val="both"/>
              <w:rPr>
                <w:sz w:val="28"/>
                <w:szCs w:val="28"/>
              </w:rPr>
            </w:pPr>
            <w:r>
              <w:rPr>
                <w:rFonts w:ascii="Times New Roman" w:hAnsi="Times New Roman" w:eastAsia="Times New Roman"/>
                <w:b w:val="0"/>
                <w:sz w:val="28"/>
                <w:szCs w:val="28"/>
              </w:rPr>
              <w:t>Gửi quyết định trong 05 ngày làm việc.</w:t>
            </w:r>
          </w:p>
        </w:tc>
        <w:tc>
          <w:tcPr>
            <w:tcW w:w="5133" w:type="dxa"/>
            <w:vAlign w:val="center"/>
          </w:tcPr>
          <w:p w14:paraId="52283AD8">
            <w:pPr>
              <w:jc w:val="both"/>
              <w:rPr>
                <w:sz w:val="28"/>
                <w:szCs w:val="28"/>
              </w:rPr>
            </w:pPr>
            <w:r>
              <w:rPr>
                <w:rFonts w:ascii="Times New Roman" w:hAnsi="Times New Roman" w:eastAsia="Times New Roman"/>
                <w:b w:val="0"/>
                <w:sz w:val="28"/>
                <w:szCs w:val="28"/>
              </w:rPr>
              <w:t>Yêu cầu quản lý, theo dõi, tổng hợp dự án đầu tư công.</w:t>
            </w:r>
          </w:p>
        </w:tc>
        <w:tc>
          <w:tcPr>
            <w:tcW w:w="4288" w:type="dxa"/>
            <w:vAlign w:val="center"/>
          </w:tcPr>
          <w:p w14:paraId="73737D7E">
            <w:pPr>
              <w:jc w:val="both"/>
              <w:rPr>
                <w:sz w:val="28"/>
                <w:szCs w:val="28"/>
              </w:rPr>
            </w:pPr>
            <w:r>
              <w:rPr>
                <w:rFonts w:ascii="Times New Roman" w:hAnsi="Times New Roman" w:eastAsia="Times New Roman"/>
                <w:b w:val="0"/>
                <w:sz w:val="28"/>
                <w:szCs w:val="28"/>
              </w:rPr>
              <w:t>Tạo cơ chế hậu kiểm của Chủ tịch UBND thành phố và Sở Tài chính.</w:t>
            </w:r>
          </w:p>
        </w:tc>
      </w:tr>
      <w:tr w14:paraId="2581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4A5ED92E">
            <w:pPr>
              <w:jc w:val="center"/>
              <w:rPr>
                <w:sz w:val="28"/>
                <w:szCs w:val="28"/>
              </w:rPr>
            </w:pPr>
            <w:r>
              <w:rPr>
                <w:rFonts w:ascii="Times New Roman" w:hAnsi="Times New Roman" w:eastAsia="Times New Roman"/>
                <w:b w:val="0"/>
                <w:sz w:val="28"/>
                <w:szCs w:val="28"/>
              </w:rPr>
              <w:t>28</w:t>
            </w:r>
          </w:p>
        </w:tc>
        <w:tc>
          <w:tcPr>
            <w:tcW w:w="4945" w:type="dxa"/>
            <w:vAlign w:val="center"/>
          </w:tcPr>
          <w:p w14:paraId="5F9F17E6">
            <w:pPr>
              <w:jc w:val="both"/>
              <w:rPr>
                <w:sz w:val="28"/>
                <w:szCs w:val="28"/>
              </w:rPr>
            </w:pPr>
            <w:r>
              <w:rPr>
                <w:rFonts w:ascii="Times New Roman" w:hAnsi="Times New Roman" w:eastAsia="Times New Roman"/>
                <w:b w:val="0"/>
                <w:sz w:val="28"/>
                <w:szCs w:val="28"/>
              </w:rPr>
              <w:t>Đình chỉ, hủy bỏ, thu hồi hoặc yêu cầu sửa đổi quyết định sai.</w:t>
            </w:r>
          </w:p>
        </w:tc>
        <w:tc>
          <w:tcPr>
            <w:tcW w:w="5133" w:type="dxa"/>
            <w:vAlign w:val="center"/>
          </w:tcPr>
          <w:p w14:paraId="65CB7A18">
            <w:pPr>
              <w:jc w:val="both"/>
              <w:rPr>
                <w:sz w:val="28"/>
                <w:szCs w:val="28"/>
              </w:rPr>
            </w:pPr>
            <w:r>
              <w:rPr>
                <w:rFonts w:ascii="Times New Roman" w:hAnsi="Times New Roman" w:eastAsia="Times New Roman"/>
                <w:b w:val="0"/>
                <w:sz w:val="28"/>
                <w:szCs w:val="28"/>
              </w:rPr>
              <w:t>Người ủy quyền có quyền kiểm tra và xử lý trong phạm vi thẩm quyền.</w:t>
            </w:r>
          </w:p>
        </w:tc>
        <w:tc>
          <w:tcPr>
            <w:tcW w:w="4288" w:type="dxa"/>
            <w:vAlign w:val="center"/>
          </w:tcPr>
          <w:p w14:paraId="117DB497">
            <w:pPr>
              <w:jc w:val="both"/>
              <w:rPr>
                <w:sz w:val="28"/>
                <w:szCs w:val="28"/>
              </w:rPr>
            </w:pPr>
            <w:r>
              <w:rPr>
                <w:rFonts w:ascii="Times New Roman" w:hAnsi="Times New Roman" w:eastAsia="Times New Roman"/>
                <w:b w:val="0"/>
                <w:sz w:val="28"/>
                <w:szCs w:val="28"/>
              </w:rPr>
              <w:t>Bổ sung đầy đủ công cụ kiểm soát và trách nhiệm của tổ chức, cá nhân liên quan.</w:t>
            </w:r>
          </w:p>
        </w:tc>
      </w:tr>
    </w:tbl>
    <w:p w14:paraId="0DD7BA7A">
      <w:pPr>
        <w:jc w:val="both"/>
        <w:rPr>
          <w:rFonts w:ascii="Times New Roman" w:hAnsi="Times New Roman" w:eastAsia="Times New Roman"/>
          <w:b w:val="0"/>
          <w:i/>
          <w:sz w:val="26"/>
        </w:rPr>
      </w:pPr>
    </w:p>
    <w:p w14:paraId="1313A121">
      <w:pPr>
        <w:jc w:val="both"/>
        <w:rPr>
          <w:sz w:val="28"/>
          <w:szCs w:val="28"/>
        </w:rPr>
      </w:pPr>
      <w:r>
        <w:rPr>
          <w:rFonts w:ascii="Times New Roman" w:hAnsi="Times New Roman" w:eastAsia="Times New Roman"/>
          <w:b w:val="0"/>
          <w:i/>
          <w:sz w:val="28"/>
          <w:szCs w:val="28"/>
        </w:rPr>
        <w:t>Kết luận: Các dự thảo được xây dựng theo hướng tách bạch phân cấp và ủy quyền, quy định rõ trường hợp loại trừ, trách nhiệm, kiểm tra và xử lý. Trước khi trình ký cần cập nhật số, ngày của văn bản pháp luật và kết quả thẩm định chuyên ngành tại thời điểm hoàn thiện hồ sơ.</w:t>
      </w:r>
    </w:p>
    <w:sectPr>
      <w:pgSz w:w="16838" w:h="11906" w:orient="landscape"/>
      <w:pgMar w:top="850" w:right="850" w:bottom="850" w:left="85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3CC18B7"/>
    <w:rsid w:val="56E076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60" w:line="276" w:lineRule="auto"/>
    </w:pPr>
    <w:rPr>
      <w:rFonts w:ascii="Times New Roman" w:hAnsi="Times New Roman" w:eastAsia="Times New Roman" w:cstheme="minorBidi"/>
      <w:sz w:val="26"/>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qFormat/>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1775</Words>
  <Characters>6300</Characters>
  <Lines>0</Lines>
  <Paragraphs>0</Paragraphs>
  <TotalTime>8</TotalTime>
  <ScaleCrop>false</ScaleCrop>
  <LinksUpToDate>false</LinksUpToDate>
  <CharactersWithSpaces>7949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Ho Huyhinh</cp:lastModifiedBy>
  <dcterms:modified xsi:type="dcterms:W3CDTF">2026-07-15T02:28:36Z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eyJoZGlkIjoiNzZmMTBkYjc5YmUwMDI4Yzk5ZTAyMzBmMWQ4OTliN2UiLCJ1c2VySWQiOiI4ODEzNDg1NzcyMzg3In0=</vt:lpwstr>
  </property>
  <property fmtid="{D5CDD505-2E9C-101B-9397-08002B2CF9AE}" pid="3" name="KSOProductBuildVer">
    <vt:lpwstr>1033-12.1.0.26880</vt:lpwstr>
  </property>
  <property fmtid="{D5CDD505-2E9C-101B-9397-08002B2CF9AE}" pid="4" name="ICV">
    <vt:lpwstr>52A2C56E20AC4EF5A30D885E08719D15_13</vt:lpwstr>
  </property>
</Properties>
</file>