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911" w:type="dxa"/>
        <w:jc w:val="center"/>
        <w:tblLayout w:type="fixed"/>
        <w:tblCellMar>
          <w:top w:w="0" w:type="dxa"/>
          <w:left w:w="108" w:type="dxa"/>
          <w:bottom w:w="0" w:type="dxa"/>
          <w:right w:w="108" w:type="dxa"/>
        </w:tblCellMar>
      </w:tblPr>
      <w:tblGrid>
        <w:gridCol w:w="4252"/>
        <w:gridCol w:w="5659"/>
      </w:tblGrid>
      <w:tr w14:paraId="29865503">
        <w:tblPrEx>
          <w:tblCellMar>
            <w:top w:w="0" w:type="dxa"/>
            <w:left w:w="108" w:type="dxa"/>
            <w:bottom w:w="0" w:type="dxa"/>
            <w:right w:w="108" w:type="dxa"/>
          </w:tblCellMar>
        </w:tblPrEx>
        <w:trPr>
          <w:jc w:val="center"/>
        </w:trPr>
        <w:tc>
          <w:tcPr>
            <w:tcW w:w="4252" w:type="dxa"/>
            <w:vAlign w:val="center"/>
          </w:tcPr>
          <w:p w14:paraId="6DF80153">
            <w:pPr>
              <w:jc w:val="center"/>
              <w:rPr>
                <w:sz w:val="26"/>
                <w:szCs w:val="26"/>
              </w:rPr>
            </w:pPr>
            <w:r>
              <w:rPr>
                <w:rFonts w:ascii="Times New Roman" w:hAnsi="Times New Roman" w:eastAsia="Times New Roman"/>
                <w:b/>
                <w:sz w:val="26"/>
                <w:szCs w:val="26"/>
              </w:rPr>
              <w:t>BAN QUẢN LÝ KHU KINH TẾ</w:t>
            </w:r>
            <w:r>
              <w:rPr>
                <w:rFonts w:ascii="Times New Roman" w:hAnsi="Times New Roman" w:eastAsia="Times New Roman"/>
                <w:b/>
                <w:sz w:val="26"/>
                <w:szCs w:val="26"/>
              </w:rPr>
              <w:br w:type="textWrapping"/>
            </w:r>
            <w:r>
              <w:rPr>
                <w:rFonts w:ascii="Times New Roman" w:hAnsi="Times New Roman" w:eastAsia="Times New Roman"/>
                <w:b/>
                <w:sz w:val="26"/>
                <w:szCs w:val="26"/>
              </w:rPr>
              <w:t xml:space="preserve">CÔNG NGHIỆP </w:t>
            </w:r>
          </w:p>
        </w:tc>
        <w:tc>
          <w:tcPr>
            <w:tcW w:w="5659" w:type="dxa"/>
            <w:vAlign w:val="center"/>
          </w:tcPr>
          <w:p w14:paraId="03E509A4">
            <w:pPr>
              <w:jc w:val="center"/>
              <w:rPr>
                <w:sz w:val="26"/>
                <w:szCs w:val="26"/>
              </w:rPr>
            </w:pPr>
            <w:r>
              <w:rPr>
                <w:rFonts w:ascii="Times New Roman" w:hAnsi="Times New Roman" w:eastAsia="Times New Roman"/>
                <w:b/>
                <w:sz w:val="26"/>
                <w:szCs w:val="26"/>
              </w:rPr>
              <w:t>CỘNG HÒA XÃ HỘI CHỦ NGHĨA VIỆT NAM</w:t>
            </w:r>
            <w:r>
              <w:rPr>
                <w:rFonts w:ascii="Times New Roman" w:hAnsi="Times New Roman" w:eastAsia="Times New Roman"/>
                <w:b/>
                <w:sz w:val="26"/>
                <w:szCs w:val="26"/>
              </w:rPr>
              <w:br w:type="textWrapping"/>
            </w:r>
            <w:r>
              <w:rPr>
                <w:rFonts w:ascii="Times New Roman" w:hAnsi="Times New Roman" w:eastAsia="Times New Roman"/>
                <w:b/>
                <w:sz w:val="26"/>
                <w:szCs w:val="26"/>
              </w:rPr>
              <w:t>Độc lập - Tự do - Hạnh phúc</w:t>
            </w:r>
          </w:p>
        </w:tc>
      </w:tr>
    </w:tbl>
    <w:p w14:paraId="719A2B45">
      <w:pPr>
        <w:jc w:val="both"/>
      </w:pPr>
    </w:p>
    <w:p w14:paraId="1EEA5887">
      <w:pPr>
        <w:jc w:val="center"/>
      </w:pPr>
      <w:r>
        <w:rPr>
          <w:rFonts w:ascii="Times New Roman" w:hAnsi="Times New Roman" w:eastAsia="Times New Roman"/>
          <w:b/>
          <w:i w:val="0"/>
          <w:sz w:val="30"/>
        </w:rPr>
        <w:t>BẢN ĐÁNH GIÁ THỦ TỤC HÀNH CHÍNH</w:t>
      </w:r>
    </w:p>
    <w:p w14:paraId="33DC50CB">
      <w:pPr>
        <w:spacing w:line="240" w:lineRule="auto"/>
        <w:ind w:left="0" w:leftChars="0" w:firstLine="0" w:firstLineChars="0"/>
        <w:jc w:val="center"/>
        <w:rPr>
          <w:sz w:val="28"/>
          <w:szCs w:val="28"/>
        </w:rPr>
      </w:pPr>
      <w:r>
        <w:rPr>
          <w:rFonts w:ascii="Times New Roman" w:hAnsi="Times New Roman" w:eastAsia="Times New Roman"/>
          <w:b/>
          <w:i w:val="0"/>
          <w:sz w:val="28"/>
          <w:szCs w:val="28"/>
        </w:rPr>
        <w:t>Trong các dự thảo Quyết định phân cấp, ủy quyền cho Ban Quản lý Khu kinh tế, công nghiệp thành phố Huế</w:t>
      </w:r>
    </w:p>
    <w:p w14:paraId="13329AE3">
      <w:pPr>
        <w:spacing w:line="240" w:lineRule="auto"/>
        <w:ind w:left="0" w:leftChars="0" w:firstLine="779" w:firstLineChars="278"/>
        <w:jc w:val="both"/>
        <w:rPr>
          <w:sz w:val="28"/>
          <w:szCs w:val="28"/>
        </w:rPr>
      </w:pPr>
      <w:r>
        <w:rPr>
          <w:rFonts w:ascii="Times New Roman" w:hAnsi="Times New Roman" w:eastAsia="Times New Roman"/>
          <w:b/>
          <w:i w:val="0"/>
          <w:sz w:val="28"/>
          <w:szCs w:val="28"/>
        </w:rPr>
        <w:t>1. Kết quả rà soát</w:t>
      </w:r>
    </w:p>
    <w:p w14:paraId="262171C9">
      <w:pPr>
        <w:spacing w:line="240" w:lineRule="auto"/>
        <w:ind w:left="0" w:leftChars="0" w:firstLine="778" w:firstLineChars="278"/>
        <w:jc w:val="both"/>
        <w:rPr>
          <w:sz w:val="28"/>
          <w:szCs w:val="28"/>
        </w:rPr>
      </w:pPr>
      <w:r>
        <w:rPr>
          <w:rFonts w:ascii="Times New Roman" w:hAnsi="Times New Roman" w:eastAsia="Times New Roman"/>
          <w:b w:val="0"/>
          <w:i w:val="0"/>
          <w:sz w:val="28"/>
          <w:szCs w:val="28"/>
        </w:rPr>
        <w:t>Các dự thảo không đặt ra thủ tục hành chính mới, không bổ sung điều kiện, thành phần hồ sơ, yêu cầu, nghĩa vụ, phí, lệ phí hoặc kéo dài thời hạn giải quyết. Nội dung dự thảo chủ yếu xác định lại cơ quan, người có thẩm quyền thực hiện các thủ tục hoặc nhiệm vụ đã được pháp luật chuyên ngành quy định.</w:t>
      </w:r>
    </w:p>
    <w:p w14:paraId="13D16E21">
      <w:pPr>
        <w:spacing w:line="240" w:lineRule="auto"/>
        <w:ind w:left="0" w:leftChars="0" w:firstLine="779" w:firstLineChars="278"/>
        <w:jc w:val="both"/>
        <w:rPr>
          <w:sz w:val="28"/>
          <w:szCs w:val="28"/>
        </w:rPr>
      </w:pPr>
      <w:r>
        <w:rPr>
          <w:rFonts w:ascii="Times New Roman" w:hAnsi="Times New Roman" w:eastAsia="Times New Roman"/>
          <w:b/>
          <w:i w:val="0"/>
          <w:sz w:val="28"/>
          <w:szCs w:val="28"/>
        </w:rPr>
        <w:t>2. Các thủ tục có thay đổi cơ quan thực hiện</w:t>
      </w:r>
    </w:p>
    <w:p w14:paraId="284A8F18">
      <w:pPr>
        <w:spacing w:line="240" w:lineRule="auto"/>
        <w:ind w:left="0" w:leftChars="0" w:firstLine="778" w:firstLineChars="278"/>
        <w:jc w:val="both"/>
        <w:rPr>
          <w:sz w:val="28"/>
          <w:szCs w:val="28"/>
        </w:rPr>
      </w:pPr>
      <w:r>
        <w:rPr>
          <w:rFonts w:ascii="Times New Roman" w:hAnsi="Times New Roman" w:eastAsia="Times New Roman"/>
          <w:b w:val="0"/>
          <w:i w:val="0"/>
          <w:sz w:val="28"/>
          <w:szCs w:val="28"/>
        </w:rPr>
        <w:t>- Thẩm định, phê duyệt kết quả thẩm định báo cáo đánh giá tác động môi trường trong phạm vi được phân cấp.</w:t>
      </w:r>
    </w:p>
    <w:p w14:paraId="5F5F0650">
      <w:pPr>
        <w:spacing w:line="240" w:lineRule="auto"/>
        <w:ind w:left="0" w:leftChars="0" w:firstLine="778" w:firstLineChars="278"/>
        <w:jc w:val="both"/>
        <w:rPr>
          <w:sz w:val="28"/>
          <w:szCs w:val="28"/>
        </w:rPr>
      </w:pPr>
      <w:r>
        <w:rPr>
          <w:rFonts w:ascii="Times New Roman" w:hAnsi="Times New Roman" w:eastAsia="Times New Roman"/>
          <w:b w:val="0"/>
          <w:i w:val="0"/>
          <w:sz w:val="28"/>
          <w:szCs w:val="28"/>
        </w:rPr>
        <w:t>- Cấp, điều chỉnh, thu hồi giấy phép môi trường trong phạm vi được phân cấp.</w:t>
      </w:r>
    </w:p>
    <w:p w14:paraId="5CEEE7E6">
      <w:pPr>
        <w:spacing w:line="240" w:lineRule="auto"/>
        <w:ind w:left="0" w:leftChars="0" w:firstLine="778" w:firstLineChars="278"/>
        <w:jc w:val="both"/>
        <w:rPr>
          <w:sz w:val="28"/>
          <w:szCs w:val="28"/>
        </w:rPr>
      </w:pPr>
      <w:r>
        <w:rPr>
          <w:rFonts w:ascii="Times New Roman" w:hAnsi="Times New Roman" w:eastAsia="Times New Roman"/>
          <w:b w:val="0"/>
          <w:i w:val="0"/>
          <w:sz w:val="28"/>
          <w:szCs w:val="28"/>
        </w:rPr>
        <w:t>- Các thủ tục, công việc liên quan lựa chọn nhà đầu tư và quản lý hợp đồng PPP theo nhiệm vụ được giao.</w:t>
      </w:r>
    </w:p>
    <w:p w14:paraId="7C4EAE0E">
      <w:pPr>
        <w:spacing w:line="240" w:lineRule="auto"/>
        <w:ind w:left="0" w:leftChars="0" w:firstLine="778" w:firstLineChars="278"/>
        <w:jc w:val="both"/>
        <w:rPr>
          <w:sz w:val="28"/>
          <w:szCs w:val="28"/>
        </w:rPr>
      </w:pPr>
      <w:r>
        <w:rPr>
          <w:rFonts w:ascii="Times New Roman" w:hAnsi="Times New Roman" w:eastAsia="Times New Roman"/>
          <w:b w:val="0"/>
          <w:i w:val="0"/>
          <w:sz w:val="28"/>
          <w:szCs w:val="28"/>
        </w:rPr>
        <w:t>- Quyết định đầu tư, điều chỉnh dự án đầu tư công là thủ tục nội bộ giữa cơ quan nhà nước, không phải TTHC đối với người dân.</w:t>
      </w:r>
    </w:p>
    <w:p w14:paraId="1905280E">
      <w:pPr>
        <w:spacing w:line="240" w:lineRule="auto"/>
        <w:ind w:left="0" w:leftChars="0" w:firstLine="779" w:firstLineChars="278"/>
        <w:jc w:val="both"/>
        <w:rPr>
          <w:sz w:val="28"/>
          <w:szCs w:val="28"/>
        </w:rPr>
      </w:pPr>
      <w:r>
        <w:rPr>
          <w:rFonts w:ascii="Times New Roman" w:hAnsi="Times New Roman" w:eastAsia="Times New Roman"/>
          <w:b/>
          <w:i w:val="0"/>
          <w:sz w:val="28"/>
          <w:szCs w:val="28"/>
        </w:rPr>
        <w:t>3. Yêu cầu sau khi văn bản được ban hành</w:t>
      </w:r>
    </w:p>
    <w:p w14:paraId="674044E7">
      <w:pPr>
        <w:spacing w:line="240" w:lineRule="auto"/>
        <w:ind w:left="0" w:leftChars="0" w:firstLine="778" w:firstLineChars="278"/>
        <w:jc w:val="both"/>
        <w:rPr>
          <w:sz w:val="28"/>
          <w:szCs w:val="28"/>
        </w:rPr>
      </w:pPr>
      <w:r>
        <w:rPr>
          <w:rFonts w:ascii="Times New Roman" w:hAnsi="Times New Roman" w:eastAsia="Times New Roman"/>
          <w:b w:val="0"/>
          <w:i w:val="0"/>
          <w:sz w:val="28"/>
          <w:szCs w:val="28"/>
        </w:rPr>
        <w:t>Cơ quan có thẩm quyền kiểm soát TTHC rà soát danh mục thủ tục bị thay đổi cơ quan giải quyết; trình công bố, công khai; cập nhật cơ sở dữ liệu quốc gia, hệ thống thông tin giải quyết TTHC và quy trình nội bộ, điện tử. Không được yêu cầu tổ chức, cá nhân nộp lại hồ sơ chỉ vì thay đổi cơ quan thực hiện.</w:t>
      </w:r>
    </w:p>
    <w:p w14:paraId="11D78663">
      <w:pPr>
        <w:spacing w:line="240" w:lineRule="auto"/>
        <w:ind w:left="0" w:leftChars="0" w:firstLine="779" w:firstLineChars="278"/>
        <w:jc w:val="both"/>
        <w:rPr>
          <w:sz w:val="28"/>
          <w:szCs w:val="28"/>
        </w:rPr>
      </w:pPr>
      <w:r>
        <w:rPr>
          <w:rFonts w:ascii="Times New Roman" w:hAnsi="Times New Roman" w:eastAsia="Times New Roman"/>
          <w:b/>
          <w:i w:val="0"/>
          <w:sz w:val="28"/>
          <w:szCs w:val="28"/>
        </w:rPr>
        <w:t>4. Tác động đến người dân, doanh nghiệp</w:t>
      </w:r>
    </w:p>
    <w:p w14:paraId="7F839D8C">
      <w:pPr>
        <w:spacing w:line="240" w:lineRule="auto"/>
        <w:ind w:left="0" w:leftChars="0" w:firstLine="778" w:firstLineChars="278"/>
        <w:jc w:val="both"/>
        <w:rPr>
          <w:sz w:val="28"/>
          <w:szCs w:val="28"/>
        </w:rPr>
      </w:pPr>
      <w:r>
        <w:rPr>
          <w:rFonts w:ascii="Times New Roman" w:hAnsi="Times New Roman" w:eastAsia="Times New Roman"/>
          <w:b w:val="0"/>
          <w:i w:val="0"/>
          <w:sz w:val="28"/>
          <w:szCs w:val="28"/>
        </w:rPr>
        <w:t>Tác động dự kiến tích cực do hồ sơ phát sinh trong khu kinh tế, khu công nghiệp được xử lý tại đầu mối quản lý trực tiếp. Không dự kiến làm tăng thời gian, chi phí hoặc nghĩa vụ tuân thủ. Rủi ro chuyển tiếp được kiểm soát bằng quy định hồ sơ đang xử lý tiếp tục do cơ quan đã tiếp nhận giải quyết, trừ quyết định chuyển giao bằng văn bản.</w:t>
      </w:r>
    </w:p>
    <w:p w14:paraId="65DF260B">
      <w:pPr>
        <w:spacing w:line="240" w:lineRule="auto"/>
        <w:ind w:left="0" w:leftChars="0" w:firstLine="779" w:firstLineChars="278"/>
        <w:jc w:val="both"/>
        <w:rPr>
          <w:sz w:val="28"/>
          <w:szCs w:val="28"/>
        </w:rPr>
      </w:pPr>
      <w:r>
        <w:rPr>
          <w:rFonts w:ascii="Times New Roman" w:hAnsi="Times New Roman" w:eastAsia="Times New Roman"/>
          <w:b/>
          <w:i w:val="0"/>
          <w:sz w:val="28"/>
          <w:szCs w:val="28"/>
        </w:rPr>
        <w:t>5. Kết luận</w:t>
      </w:r>
    </w:p>
    <w:p w14:paraId="338ADC74">
      <w:pPr>
        <w:spacing w:line="240" w:lineRule="auto"/>
        <w:ind w:left="0" w:leftChars="0" w:firstLine="778" w:firstLineChars="278"/>
        <w:jc w:val="both"/>
        <w:rPr>
          <w:sz w:val="28"/>
          <w:szCs w:val="28"/>
        </w:rPr>
      </w:pPr>
      <w:r>
        <w:rPr>
          <w:rFonts w:ascii="Times New Roman" w:hAnsi="Times New Roman" w:eastAsia="Times New Roman"/>
          <w:b w:val="0"/>
          <w:i w:val="0"/>
          <w:sz w:val="28"/>
          <w:szCs w:val="28"/>
        </w:rPr>
        <w:t>Không phải thực hiện đánh giá chi phí tuân thủ đối với thủ tục hành chính mới vì dự thảo không quy định thủ tục mới. Tuy nhiên, phải thực hiện công bố và cập nhật thủ tục hiện hành nếu thay đ</w:t>
      </w:r>
      <w:bookmarkStart w:id="0" w:name="_GoBack"/>
      <w:bookmarkEnd w:id="0"/>
      <w:r>
        <w:rPr>
          <w:rFonts w:ascii="Times New Roman" w:hAnsi="Times New Roman" w:eastAsia="Times New Roman"/>
          <w:b w:val="0"/>
          <w:i w:val="0"/>
          <w:sz w:val="28"/>
          <w:szCs w:val="28"/>
        </w:rPr>
        <w:t>ổi cơ quan thực hiện, thẩm quyền hoặc địa điểm tiếp nhận theo quy định.</w:t>
      </w:r>
    </w:p>
    <w:sectPr>
      <w:pgSz w:w="12240" w:h="15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38F41785"/>
    <w:rsid w:val="522B2D20"/>
    <w:rsid w:val="6D2471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semiHidden="0" w:name="List"/>
    <w:lsdException w:qFormat="1" w:uiPriority="99" w:semiHidden="0" w:name="List Bullet"/>
    <w:lsdException w:qFormat="1" w:uiPriority="99" w:semiHidden="0" w:name="List Number"/>
    <w:lsdException w:uiPriority="99" w:semiHidden="0" w:name="List 2"/>
    <w:lsdException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spacing w:after="60" w:line="276" w:lineRule="auto"/>
    </w:pPr>
    <w:rPr>
      <w:rFonts w:ascii="Times New Roman" w:hAnsi="Times New Roman" w:eastAsia="Times New Roman" w:cstheme="minorBidi"/>
      <w:sz w:val="26"/>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4"/>
    <w:unhideWhenUsed/>
    <w:uiPriority w:val="99"/>
    <w:pPr>
      <w:spacing w:after="120"/>
    </w:pPr>
  </w:style>
  <w:style w:type="paragraph" w:styleId="14">
    <w:name w:val="Body Text 2"/>
    <w:basedOn w:val="1"/>
    <w:link w:val="145"/>
    <w:unhideWhenUsed/>
    <w:uiPriority w:val="99"/>
    <w:pPr>
      <w:spacing w:after="120" w:line="480" w:lineRule="auto"/>
    </w:pPr>
  </w:style>
  <w:style w:type="paragraph" w:styleId="15">
    <w:name w:val="Body Text 3"/>
    <w:basedOn w:val="1"/>
    <w:link w:val="146"/>
    <w:unhideWhenUsed/>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qFormat/>
    <w:uiPriority w:val="99"/>
    <w:pPr>
      <w:tabs>
        <w:tab w:val="center" w:pos="4680"/>
        <w:tab w:val="right" w:pos="9360"/>
      </w:tabs>
      <w:spacing w:after="0" w:line="240" w:lineRule="auto"/>
    </w:pPr>
  </w:style>
  <w:style w:type="paragraph" w:styleId="19">
    <w:name w:val="header"/>
    <w:basedOn w:val="1"/>
    <w:link w:val="135"/>
    <w:unhideWhenUsed/>
    <w:qFormat/>
    <w:uiPriority w:val="99"/>
    <w:pPr>
      <w:tabs>
        <w:tab w:val="center" w:pos="4680"/>
        <w:tab w:val="right" w:pos="9360"/>
      </w:tabs>
      <w:spacing w:after="0" w:line="240" w:lineRule="auto"/>
    </w:pPr>
  </w:style>
  <w:style w:type="paragraph" w:styleId="20">
    <w:name w:val="List"/>
    <w:basedOn w:val="1"/>
    <w:unhideWhenUsed/>
    <w:uiPriority w:val="99"/>
    <w:pPr>
      <w:ind w:left="360" w:hanging="360"/>
      <w:contextualSpacing/>
    </w:pPr>
  </w:style>
  <w:style w:type="paragraph" w:styleId="21">
    <w:name w:val="List 2"/>
    <w:basedOn w:val="1"/>
    <w:unhideWhenUsed/>
    <w:uiPriority w:val="99"/>
    <w:pPr>
      <w:ind w:left="720" w:hanging="360"/>
      <w:contextualSpacing/>
    </w:pPr>
  </w:style>
  <w:style w:type="paragraph" w:styleId="22">
    <w:name w:val="List 3"/>
    <w:basedOn w:val="1"/>
    <w:unhideWhenUsed/>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qFormat/>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qFormat/>
    <w:uiPriority w:val="99"/>
  </w:style>
  <w:style w:type="character" w:customStyle="1" w:styleId="136">
    <w:name w:val="Footer Char"/>
    <w:basedOn w:val="11"/>
    <w:link w:val="18"/>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uiPriority w:val="99"/>
  </w:style>
  <w:style w:type="character" w:customStyle="1" w:styleId="145">
    <w:name w:val="Body Text 2 Char"/>
    <w:basedOn w:val="11"/>
    <w:link w:val="14"/>
    <w:uiPriority w:val="99"/>
  </w:style>
  <w:style w:type="character" w:customStyle="1" w:styleId="146">
    <w:name w:val="Body Text 3 Char"/>
    <w:basedOn w:val="11"/>
    <w:link w:val="15"/>
    <w:qFormat/>
    <w:uiPriority w:val="99"/>
    <w:rPr>
      <w:sz w:val="16"/>
      <w:szCs w:val="16"/>
    </w:rPr>
  </w:style>
  <w:style w:type="character" w:customStyle="1" w:styleId="147">
    <w:name w:val="Macro Text Char"/>
    <w:basedOn w:val="11"/>
    <w:link w:val="3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uiPriority w:val="29"/>
    <w:rPr>
      <w:i/>
      <w:iCs/>
      <w:color w:val="000000" w:themeColor="text1"/>
      <w14:textFill>
        <w14:solidFill>
          <w14:schemeClr w14:val="tx1"/>
        </w14:solidFill>
      </w14:textFill>
    </w:rPr>
  </w:style>
  <w:style w:type="character" w:customStyle="1" w:styleId="150">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447</Words>
  <Characters>1565</Characters>
  <Lines>0</Lines>
  <Paragraphs>0</Paragraphs>
  <TotalTime>3</TotalTime>
  <ScaleCrop>false</ScaleCrop>
  <LinksUpToDate>false</LinksUpToDate>
  <CharactersWithSpaces>1994</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Ho Huyhinh</cp:lastModifiedBy>
  <dcterms:modified xsi:type="dcterms:W3CDTF">2026-07-15T03:16:41Z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eyJoZGlkIjoiNzZmMTBkYjc5YmUwMDI4Yzk5ZTAyMzBmMWQ4OTliN2UiLCJ1c2VySWQiOiI4ODEzNDg1NzcyMzg3In0=</vt:lpwstr>
  </property>
  <property fmtid="{D5CDD505-2E9C-101B-9397-08002B2CF9AE}" pid="3" name="KSOProductBuildVer">
    <vt:lpwstr>1033-12.1.0.26880</vt:lpwstr>
  </property>
  <property fmtid="{D5CDD505-2E9C-101B-9397-08002B2CF9AE}" pid="4" name="ICV">
    <vt:lpwstr>279E42B9BFF54E138DEF0CE16068422A_13</vt:lpwstr>
  </property>
</Properties>
</file>